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24444" w14:textId="77777777" w:rsidR="00182952" w:rsidRDefault="00182952" w:rsidP="00FC6AAF">
      <w:pPr>
        <w:pStyle w:val="Nessunaspaziatura"/>
        <w:tabs>
          <w:tab w:val="left" w:pos="5387"/>
        </w:tabs>
        <w:rPr>
          <w:rFonts w:asciiTheme="minorHAnsi" w:hAnsiTheme="minorHAnsi" w:cstheme="minorHAnsi"/>
        </w:rPr>
      </w:pPr>
    </w:p>
    <w:p w14:paraId="78F1C821" w14:textId="77777777" w:rsidR="00CA5AA8" w:rsidRPr="008D6E01" w:rsidRDefault="00CA5AA8" w:rsidP="007C0526">
      <w:pPr>
        <w:pStyle w:val="Nessunaspaziatura"/>
        <w:rPr>
          <w:rFonts w:asciiTheme="minorHAnsi" w:hAnsiTheme="minorHAnsi" w:cstheme="minorHAnsi"/>
        </w:rPr>
      </w:pPr>
    </w:p>
    <w:p w14:paraId="6E979B9D"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4939B92A"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46816616"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E7138F">
        <w:rPr>
          <w:rFonts w:asciiTheme="minorHAnsi" w:hAnsiTheme="minorHAnsi" w:cstheme="minorHAnsi"/>
          <w:b/>
          <w:bCs/>
          <w:snapToGrid w:val="0"/>
          <w:color w:val="1F4E79"/>
          <w:sz w:val="40"/>
          <w:szCs w:val="40"/>
        </w:rPr>
        <w:t>2014IT05SFOP002</w:t>
      </w:r>
    </w:p>
    <w:p w14:paraId="6D362E0F"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w:t>
      </w:r>
      <w:r w:rsidR="00BA1AC7">
        <w:rPr>
          <w:rFonts w:asciiTheme="minorHAnsi" w:hAnsiTheme="minorHAnsi" w:cstheme="minorHAnsi"/>
          <w:b/>
          <w:bCs/>
          <w:snapToGrid w:val="0"/>
          <w:color w:val="1F4E79"/>
          <w:sz w:val="40"/>
          <w:szCs w:val="40"/>
        </w:rPr>
        <w:t>SISTEMI DI POLITICHE ATTIVE PER L’OCCUPAZIONE</w:t>
      </w:r>
      <w:r w:rsidRPr="004C7339">
        <w:rPr>
          <w:rFonts w:asciiTheme="minorHAnsi" w:hAnsiTheme="minorHAnsi" w:cstheme="minorHAnsi"/>
          <w:b/>
          <w:bCs/>
          <w:snapToGrid w:val="0"/>
          <w:color w:val="1F4E79"/>
          <w:sz w:val="40"/>
          <w:szCs w:val="40"/>
        </w:rPr>
        <w:t>”</w:t>
      </w:r>
    </w:p>
    <w:p w14:paraId="5291EE02"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4364A69B"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07586706"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574F512"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52EA8D9A"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0B473387" w14:textId="77777777" w:rsidR="00182952" w:rsidRPr="008D6E01" w:rsidRDefault="00182952" w:rsidP="006E6A37">
      <w:pPr>
        <w:spacing w:after="120" w:line="240" w:lineRule="auto"/>
        <w:jc w:val="center"/>
        <w:rPr>
          <w:rFonts w:asciiTheme="minorHAnsi" w:hAnsiTheme="minorHAnsi" w:cstheme="minorHAnsi"/>
          <w:b/>
          <w:color w:val="1F4E79"/>
        </w:rPr>
      </w:pPr>
    </w:p>
    <w:p w14:paraId="459068B5"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500DB71A"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(art. 137 del Reg. UE 1303/2013, art. 29 del Reg. (UE) 480/2014 e art.7 e Allegato VII del Reg. (UE) 1011/2014)</w:t>
      </w:r>
    </w:p>
    <w:p w14:paraId="393647F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7274DC8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83CE72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37DBC2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9A737D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F155A7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13C65A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514195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F1C4957"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B364D51"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D411DE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624FBF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3E2EC6D"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2394E632"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even" r:id="rId7"/>
          <w:headerReference w:type="default" r:id="rId8"/>
          <w:footerReference w:type="even" r:id="rId9"/>
          <w:footerReference w:type="default" r:id="rId10"/>
          <w:headerReference w:type="first" r:id="rId11"/>
          <w:footerReference w:type="first" r:id="rId12"/>
          <w:pgSz w:w="11906" w:h="16838"/>
          <w:pgMar w:top="2552" w:right="1134" w:bottom="1418" w:left="1134" w:header="851" w:footer="208" w:gutter="0"/>
          <w:cols w:space="708"/>
          <w:titlePg/>
          <w:docGrid w:linePitch="360"/>
        </w:sectPr>
      </w:pPr>
    </w:p>
    <w:p w14:paraId="224FC26A" w14:textId="2B5DA7B9"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7611C9">
          <w:rPr>
            <w:webHidden/>
          </w:rPr>
          <w:t>4</w:t>
        </w:r>
        <w:r w:rsidR="00D7634E">
          <w:rPr>
            <w:webHidden/>
          </w:rPr>
          <w:fldChar w:fldCharType="end"/>
        </w:r>
      </w:hyperlink>
    </w:p>
    <w:p w14:paraId="68E22376" w14:textId="008B26CC" w:rsidR="00D7634E" w:rsidRDefault="00BC4449">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7611C9">
          <w:rPr>
            <w:webHidden/>
          </w:rPr>
          <w:t>6</w:t>
        </w:r>
        <w:r w:rsidR="00D7634E">
          <w:rPr>
            <w:webHidden/>
          </w:rPr>
          <w:fldChar w:fldCharType="end"/>
        </w:r>
      </w:hyperlink>
    </w:p>
    <w:p w14:paraId="46776698" w14:textId="678ADD1F" w:rsidR="00D7634E" w:rsidRDefault="00BC4449">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7611C9">
          <w:rPr>
            <w:webHidden/>
          </w:rPr>
          <w:t>6</w:t>
        </w:r>
        <w:r w:rsidR="00D7634E">
          <w:rPr>
            <w:webHidden/>
          </w:rPr>
          <w:fldChar w:fldCharType="end"/>
        </w:r>
      </w:hyperlink>
    </w:p>
    <w:p w14:paraId="6DA7B14E" w14:textId="40B239DF" w:rsidR="00D7634E" w:rsidRDefault="00BC4449">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7611C9">
          <w:rPr>
            <w:webHidden/>
          </w:rPr>
          <w:t>11</w:t>
        </w:r>
        <w:r w:rsidR="00D7634E">
          <w:rPr>
            <w:webHidden/>
          </w:rPr>
          <w:fldChar w:fldCharType="end"/>
        </w:r>
      </w:hyperlink>
    </w:p>
    <w:p w14:paraId="5549E03E" w14:textId="4062AE81" w:rsidR="00D7634E" w:rsidRDefault="00BC4449">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7611C9">
          <w:rPr>
            <w:webHidden/>
          </w:rPr>
          <w:t>11</w:t>
        </w:r>
        <w:r w:rsidR="00D7634E">
          <w:rPr>
            <w:webHidden/>
          </w:rPr>
          <w:fldChar w:fldCharType="end"/>
        </w:r>
      </w:hyperlink>
    </w:p>
    <w:p w14:paraId="0E2C7B60" w14:textId="77BC9220" w:rsidR="00D7634E" w:rsidRDefault="00BC4449">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7611C9">
          <w:rPr>
            <w:webHidden/>
          </w:rPr>
          <w:t>12</w:t>
        </w:r>
        <w:r w:rsidR="00D7634E">
          <w:rPr>
            <w:webHidden/>
          </w:rPr>
          <w:fldChar w:fldCharType="end"/>
        </w:r>
      </w:hyperlink>
    </w:p>
    <w:p w14:paraId="5B85C4FA" w14:textId="3F082778" w:rsidR="00D7634E" w:rsidRDefault="00BC4449">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7611C9">
          <w:rPr>
            <w:noProof/>
            <w:webHidden/>
          </w:rPr>
          <w:t>14</w:t>
        </w:r>
        <w:r w:rsidR="00D7634E">
          <w:rPr>
            <w:noProof/>
            <w:webHidden/>
          </w:rPr>
          <w:fldChar w:fldCharType="end"/>
        </w:r>
      </w:hyperlink>
    </w:p>
    <w:p w14:paraId="35E28004" w14:textId="2206EC2F" w:rsidR="00D7634E" w:rsidRDefault="00BC4449">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7611C9">
          <w:rPr>
            <w:noProof/>
            <w:webHidden/>
          </w:rPr>
          <w:t>14</w:t>
        </w:r>
        <w:r w:rsidR="00D7634E">
          <w:rPr>
            <w:noProof/>
            <w:webHidden/>
          </w:rPr>
          <w:fldChar w:fldCharType="end"/>
        </w:r>
      </w:hyperlink>
    </w:p>
    <w:p w14:paraId="4D55E116" w14:textId="479D5FDA" w:rsidR="00D7634E" w:rsidRDefault="00BC4449">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7611C9">
          <w:rPr>
            <w:noProof/>
            <w:webHidden/>
          </w:rPr>
          <w:t>15</w:t>
        </w:r>
        <w:r w:rsidR="00D7634E">
          <w:rPr>
            <w:noProof/>
            <w:webHidden/>
          </w:rPr>
          <w:fldChar w:fldCharType="end"/>
        </w:r>
      </w:hyperlink>
    </w:p>
    <w:p w14:paraId="72A8D557" w14:textId="05E2E023" w:rsidR="00D7634E" w:rsidRDefault="00BC4449">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7611C9">
          <w:rPr>
            <w:noProof/>
            <w:webHidden/>
          </w:rPr>
          <w:t>15</w:t>
        </w:r>
        <w:r w:rsidR="00D7634E">
          <w:rPr>
            <w:noProof/>
            <w:webHidden/>
          </w:rPr>
          <w:fldChar w:fldCharType="end"/>
        </w:r>
      </w:hyperlink>
    </w:p>
    <w:p w14:paraId="520D6E54" w14:textId="58B67718" w:rsidR="00D7634E" w:rsidRDefault="00BC4449">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7611C9">
          <w:rPr>
            <w:noProof/>
            <w:webHidden/>
          </w:rPr>
          <w:t>16</w:t>
        </w:r>
        <w:r w:rsidR="00D7634E">
          <w:rPr>
            <w:noProof/>
            <w:webHidden/>
          </w:rPr>
          <w:fldChar w:fldCharType="end"/>
        </w:r>
      </w:hyperlink>
    </w:p>
    <w:p w14:paraId="684E72F1" w14:textId="072618A0" w:rsidR="00D7634E" w:rsidRDefault="00BC4449">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7611C9">
          <w:rPr>
            <w:noProof/>
            <w:webHidden/>
          </w:rPr>
          <w:t>16</w:t>
        </w:r>
        <w:r w:rsidR="00D7634E">
          <w:rPr>
            <w:noProof/>
            <w:webHidden/>
          </w:rPr>
          <w:fldChar w:fldCharType="end"/>
        </w:r>
      </w:hyperlink>
    </w:p>
    <w:p w14:paraId="249C6D01" w14:textId="0DBA1723" w:rsidR="00D7634E" w:rsidRDefault="00BC4449">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7611C9">
          <w:rPr>
            <w:webHidden/>
          </w:rPr>
          <w:t>17</w:t>
        </w:r>
        <w:r w:rsidR="00D7634E">
          <w:rPr>
            <w:webHidden/>
          </w:rPr>
          <w:fldChar w:fldCharType="end"/>
        </w:r>
      </w:hyperlink>
    </w:p>
    <w:p w14:paraId="200E96F5" w14:textId="700346CB" w:rsidR="00D7634E" w:rsidRDefault="00BC4449">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7611C9">
          <w:rPr>
            <w:webHidden/>
          </w:rPr>
          <w:t>19</w:t>
        </w:r>
        <w:r w:rsidR="00D7634E">
          <w:rPr>
            <w:webHidden/>
          </w:rPr>
          <w:fldChar w:fldCharType="end"/>
        </w:r>
      </w:hyperlink>
    </w:p>
    <w:p w14:paraId="6AC1F571" w14:textId="03191107" w:rsidR="00D7634E" w:rsidRDefault="00BC4449">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7611C9">
          <w:rPr>
            <w:webHidden/>
          </w:rPr>
          <w:t>19</w:t>
        </w:r>
        <w:r w:rsidR="00D7634E">
          <w:rPr>
            <w:webHidden/>
          </w:rPr>
          <w:fldChar w:fldCharType="end"/>
        </w:r>
      </w:hyperlink>
    </w:p>
    <w:p w14:paraId="2DF1D1FC"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31117389" w14:textId="77777777" w:rsidR="00182952" w:rsidRDefault="00182952">
      <w:pPr>
        <w:rPr>
          <w:rFonts w:asciiTheme="minorHAnsi" w:hAnsiTheme="minorHAnsi" w:cstheme="minorHAnsi"/>
          <w:color w:val="1F4E79"/>
          <w:lang w:val="en-US"/>
        </w:rPr>
      </w:pPr>
    </w:p>
    <w:p w14:paraId="058A1116" w14:textId="77777777" w:rsidR="00583F7F" w:rsidRDefault="00583F7F">
      <w:pPr>
        <w:rPr>
          <w:rFonts w:asciiTheme="minorHAnsi" w:hAnsiTheme="minorHAnsi" w:cstheme="minorHAnsi"/>
          <w:color w:val="1F4E79"/>
          <w:lang w:val="en-US"/>
        </w:rPr>
      </w:pPr>
    </w:p>
    <w:p w14:paraId="1CBE22F4" w14:textId="77777777" w:rsidR="00583F7F" w:rsidRDefault="00583F7F">
      <w:pPr>
        <w:rPr>
          <w:rFonts w:asciiTheme="minorHAnsi" w:hAnsiTheme="minorHAnsi" w:cstheme="minorHAnsi"/>
          <w:color w:val="1F4E79"/>
          <w:lang w:val="en-US"/>
        </w:rPr>
      </w:pPr>
    </w:p>
    <w:p w14:paraId="454FB9B1" w14:textId="77777777" w:rsidR="00583F7F" w:rsidRDefault="00583F7F">
      <w:pPr>
        <w:rPr>
          <w:rFonts w:asciiTheme="minorHAnsi" w:hAnsiTheme="minorHAnsi" w:cstheme="minorHAnsi"/>
          <w:color w:val="1F4E79"/>
          <w:lang w:val="en-US"/>
        </w:rPr>
      </w:pPr>
    </w:p>
    <w:p w14:paraId="1E9386FB" w14:textId="77777777" w:rsidR="00583F7F" w:rsidRDefault="00583F7F">
      <w:pPr>
        <w:rPr>
          <w:rFonts w:asciiTheme="minorHAnsi" w:hAnsiTheme="minorHAnsi" w:cstheme="minorHAnsi"/>
          <w:color w:val="1F4E79"/>
          <w:lang w:val="en-US"/>
        </w:rPr>
      </w:pPr>
    </w:p>
    <w:p w14:paraId="1CAE1032" w14:textId="77777777" w:rsidR="00583F7F" w:rsidRDefault="00583F7F" w:rsidP="000B7F88">
      <w:pPr>
        <w:jc w:val="center"/>
        <w:rPr>
          <w:rFonts w:asciiTheme="minorHAnsi" w:hAnsiTheme="minorHAnsi" w:cstheme="minorHAnsi"/>
          <w:color w:val="1F4E79"/>
          <w:lang w:val="en-US"/>
        </w:rPr>
      </w:pPr>
    </w:p>
    <w:p w14:paraId="5CB00CCD" w14:textId="77777777" w:rsidR="00583F7F" w:rsidRDefault="00583F7F">
      <w:pPr>
        <w:rPr>
          <w:rFonts w:asciiTheme="minorHAnsi" w:hAnsiTheme="minorHAnsi" w:cstheme="minorHAnsi"/>
          <w:color w:val="1F4E79"/>
          <w:lang w:val="en-US"/>
        </w:rPr>
      </w:pPr>
    </w:p>
    <w:p w14:paraId="68E80EFA" w14:textId="77777777" w:rsidR="00583F7F" w:rsidRDefault="00583F7F">
      <w:pPr>
        <w:rPr>
          <w:rFonts w:asciiTheme="minorHAnsi" w:hAnsiTheme="minorHAnsi" w:cstheme="minorHAnsi"/>
          <w:color w:val="1F4E79"/>
          <w:lang w:val="en-US"/>
        </w:rPr>
      </w:pPr>
    </w:p>
    <w:p w14:paraId="29938C5A" w14:textId="77777777" w:rsidR="00583F7F" w:rsidRDefault="00583F7F">
      <w:pPr>
        <w:rPr>
          <w:rFonts w:asciiTheme="minorHAnsi" w:hAnsiTheme="minorHAnsi" w:cstheme="minorHAnsi"/>
          <w:color w:val="1F4E79"/>
          <w:lang w:val="en-US"/>
        </w:rPr>
      </w:pPr>
    </w:p>
    <w:p w14:paraId="1C7C1205" w14:textId="77777777" w:rsidR="00583F7F" w:rsidRDefault="00583F7F">
      <w:pPr>
        <w:rPr>
          <w:rFonts w:asciiTheme="minorHAnsi" w:hAnsiTheme="minorHAnsi" w:cstheme="minorHAnsi"/>
          <w:color w:val="1F4E79"/>
          <w:lang w:val="en-US"/>
        </w:rPr>
      </w:pPr>
    </w:p>
    <w:p w14:paraId="5ECBFB91" w14:textId="77777777" w:rsidR="00583F7F" w:rsidRDefault="00583F7F">
      <w:pPr>
        <w:rPr>
          <w:rFonts w:asciiTheme="minorHAnsi" w:hAnsiTheme="minorHAnsi" w:cstheme="minorHAnsi"/>
          <w:color w:val="1F4E79"/>
          <w:lang w:val="en-US"/>
        </w:rPr>
      </w:pPr>
    </w:p>
    <w:p w14:paraId="527EDAE4" w14:textId="77777777" w:rsidR="00583F7F" w:rsidRDefault="00583F7F">
      <w:pPr>
        <w:rPr>
          <w:rFonts w:asciiTheme="minorHAnsi" w:hAnsiTheme="minorHAnsi" w:cstheme="minorHAnsi"/>
          <w:color w:val="1F4E79"/>
          <w:lang w:val="en-US"/>
        </w:rPr>
      </w:pPr>
    </w:p>
    <w:p w14:paraId="67A04846" w14:textId="77777777" w:rsidR="00583F7F" w:rsidRDefault="00583F7F">
      <w:pPr>
        <w:rPr>
          <w:rFonts w:asciiTheme="minorHAnsi" w:hAnsiTheme="minorHAnsi" w:cstheme="minorHAnsi"/>
          <w:color w:val="1F4E79"/>
          <w:lang w:val="en-US"/>
        </w:rPr>
      </w:pPr>
    </w:p>
    <w:p w14:paraId="0B019168"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14:paraId="78A57104" w14:textId="77777777" w:rsidTr="00B86413">
        <w:trPr>
          <w:trHeight w:val="552"/>
        </w:trPr>
        <w:tc>
          <w:tcPr>
            <w:tcW w:w="2250" w:type="pct"/>
            <w:shd w:val="clear" w:color="auto" w:fill="DEEAF6"/>
          </w:tcPr>
          <w:p w14:paraId="5633EC71"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lastRenderedPageBreak/>
              <w:t>Codice Programma Operativo:</w:t>
            </w:r>
          </w:p>
        </w:tc>
        <w:tc>
          <w:tcPr>
            <w:tcW w:w="2750" w:type="pct"/>
          </w:tcPr>
          <w:p w14:paraId="21028498"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692EDE">
              <w:rPr>
                <w:rFonts w:asciiTheme="minorHAnsi" w:hAnsiTheme="minorHAnsi" w:cstheme="minorHAnsi"/>
              </w:rPr>
              <w:t>2014IT05SFOP002</w:t>
            </w:r>
          </w:p>
        </w:tc>
      </w:tr>
      <w:tr w:rsidR="00182952" w:rsidRPr="008D6E01" w14:paraId="6ADA0B4E" w14:textId="77777777" w:rsidTr="00B86413">
        <w:trPr>
          <w:trHeight w:val="552"/>
        </w:trPr>
        <w:tc>
          <w:tcPr>
            <w:tcW w:w="2250" w:type="pct"/>
            <w:shd w:val="clear" w:color="auto" w:fill="DEEAF6"/>
          </w:tcPr>
          <w:p w14:paraId="7DED9053"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1DC6B352"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9F0B15">
              <w:rPr>
                <w:rFonts w:asciiTheme="minorHAnsi" w:hAnsiTheme="minorHAnsi" w:cstheme="minorHAnsi"/>
              </w:rPr>
              <w:t>SISTEMI DI POLITICHE ATTIVE PER L’OCCUPAZIONE</w:t>
            </w:r>
          </w:p>
        </w:tc>
      </w:tr>
      <w:tr w:rsidR="00182952" w:rsidRPr="008D6E01" w14:paraId="29D5E3FD" w14:textId="77777777" w:rsidTr="00B86413">
        <w:trPr>
          <w:trHeight w:val="552"/>
        </w:trPr>
        <w:tc>
          <w:tcPr>
            <w:tcW w:w="2250" w:type="pct"/>
            <w:shd w:val="clear" w:color="auto" w:fill="DEEAF6"/>
          </w:tcPr>
          <w:p w14:paraId="49F0AA38" w14:textId="77777777"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30BEFBFD" w14:textId="77777777"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14:paraId="57874167" w14:textId="77777777" w:rsidTr="00B86413">
        <w:tc>
          <w:tcPr>
            <w:tcW w:w="2250" w:type="pct"/>
            <w:shd w:val="clear" w:color="auto" w:fill="DEEAF6"/>
          </w:tcPr>
          <w:p w14:paraId="0D983AE7" w14:textId="77777777"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2418692A" w14:textId="77777777"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14:paraId="7DBBDEA4" w14:textId="77777777" w:rsidTr="00B86413">
        <w:tc>
          <w:tcPr>
            <w:tcW w:w="2250" w:type="pct"/>
            <w:shd w:val="clear" w:color="auto" w:fill="DEEAF6"/>
          </w:tcPr>
          <w:p w14:paraId="7AE501C1" w14:textId="77777777"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3E813430" w14:textId="69081AB9" w:rsidR="00182952" w:rsidRPr="008D6E01" w:rsidRDefault="00642730" w:rsidP="00A2666D">
            <w:pPr>
              <w:spacing w:before="120" w:after="120" w:line="240" w:lineRule="auto"/>
              <w:rPr>
                <w:rFonts w:asciiTheme="minorHAnsi" w:hAnsiTheme="minorHAnsi" w:cstheme="minorHAnsi"/>
              </w:rPr>
            </w:pPr>
            <w:r w:rsidRPr="00642730">
              <w:t xml:space="preserve">MLPS - </w:t>
            </w:r>
            <w:r w:rsidR="00A81BF2" w:rsidRPr="00A81BF2">
              <w:t>Ministero del Lavoro e delle Politiche Sociali Dipartimento per l’innovazione, l’amministrazione generale, il personale e i servizi</w:t>
            </w:r>
            <w:r w:rsidR="00A81BF2">
              <w:t xml:space="preserve"> </w:t>
            </w:r>
            <w:r w:rsidRPr="00642730">
              <w:t>- Autorità di Audit</w:t>
            </w:r>
          </w:p>
        </w:tc>
      </w:tr>
      <w:tr w:rsidR="00182952" w:rsidRPr="008D6E01" w14:paraId="15F402E5" w14:textId="77777777" w:rsidTr="00B86413">
        <w:tc>
          <w:tcPr>
            <w:tcW w:w="5000" w:type="pct"/>
            <w:gridSpan w:val="2"/>
            <w:shd w:val="clear" w:color="auto" w:fill="DEEAF6"/>
          </w:tcPr>
          <w:p w14:paraId="2B59252D" w14:textId="77777777"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14:paraId="1419C24E" w14:textId="77777777" w:rsidTr="00B86413">
        <w:tc>
          <w:tcPr>
            <w:tcW w:w="2250" w:type="pct"/>
            <w:tcBorders>
              <w:top w:val="nil"/>
            </w:tcBorders>
            <w:shd w:val="clear" w:color="auto" w:fill="DEEAF6"/>
          </w:tcPr>
          <w:p w14:paraId="4D1FD2F9" w14:textId="77777777"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58ED74BF" w14:textId="77777777"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14:paraId="2750132D" w14:textId="77777777" w:rsidR="00A81BF2" w:rsidRPr="00A81BF2" w:rsidRDefault="00A81BF2" w:rsidP="00A81BF2">
            <w:pPr>
              <w:spacing w:before="120" w:after="120" w:line="240" w:lineRule="auto"/>
              <w:rPr>
                <w:rFonts w:asciiTheme="minorHAnsi" w:hAnsiTheme="minorHAnsi" w:cstheme="minorHAnsi"/>
                <w:bCs/>
              </w:rPr>
            </w:pPr>
            <w:r w:rsidRPr="00A81BF2">
              <w:rPr>
                <w:rFonts w:asciiTheme="minorHAnsi" w:hAnsiTheme="minorHAnsi" w:cstheme="minorHAnsi"/>
                <w:bCs/>
              </w:rPr>
              <w:t>DG delle politiche attive del lavoro</w:t>
            </w:r>
          </w:p>
          <w:p w14:paraId="45FC5B39" w14:textId="77777777" w:rsidR="00A81BF2" w:rsidRPr="00A81BF2" w:rsidRDefault="00A81BF2" w:rsidP="00A81BF2">
            <w:pPr>
              <w:spacing w:before="120" w:after="120" w:line="240" w:lineRule="auto"/>
              <w:rPr>
                <w:rFonts w:asciiTheme="minorHAnsi" w:hAnsiTheme="minorHAnsi" w:cstheme="minorHAnsi"/>
                <w:bCs/>
              </w:rPr>
            </w:pPr>
            <w:r w:rsidRPr="00A81BF2">
              <w:rPr>
                <w:rFonts w:asciiTheme="minorHAnsi" w:hAnsiTheme="minorHAnsi" w:cstheme="minorHAnsi"/>
                <w:bCs/>
              </w:rPr>
              <w:t>Divisione II</w:t>
            </w:r>
          </w:p>
          <w:p w14:paraId="4D7B73E4" w14:textId="4F2C5300" w:rsidR="00182952" w:rsidRPr="008D6E01" w:rsidRDefault="00182952" w:rsidP="0054064A">
            <w:pPr>
              <w:spacing w:before="120" w:after="120" w:line="240" w:lineRule="auto"/>
              <w:rPr>
                <w:rFonts w:asciiTheme="minorHAnsi" w:hAnsiTheme="minorHAnsi" w:cstheme="minorHAnsi"/>
              </w:rPr>
            </w:pPr>
          </w:p>
        </w:tc>
      </w:tr>
      <w:tr w:rsidR="00182952" w:rsidRPr="008D6E01" w14:paraId="2779A499" w14:textId="77777777" w:rsidTr="00B86413">
        <w:tc>
          <w:tcPr>
            <w:tcW w:w="2250" w:type="pct"/>
            <w:shd w:val="clear" w:color="auto" w:fill="DEEAF6"/>
          </w:tcPr>
          <w:p w14:paraId="3B3FE0F6"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5D84D6C7" w14:textId="53521396" w:rsidR="00A81BF2" w:rsidRPr="00A81BF2" w:rsidRDefault="00642730" w:rsidP="00A81BF2">
            <w:pPr>
              <w:spacing w:before="120" w:after="120" w:line="240" w:lineRule="auto"/>
              <w:rPr>
                <w:rFonts w:asciiTheme="minorHAnsi" w:hAnsiTheme="minorHAnsi" w:cstheme="minorHAnsi"/>
                <w:bCs/>
              </w:rPr>
            </w:pPr>
            <w:r w:rsidRPr="00642730">
              <w:rPr>
                <w:rFonts w:asciiTheme="minorHAnsi" w:hAnsiTheme="minorHAnsi" w:cstheme="minorHAnsi"/>
              </w:rPr>
              <w:t xml:space="preserve">c.a. </w:t>
            </w:r>
            <w:r w:rsidR="00A81BF2" w:rsidRPr="00A81BF2">
              <w:rPr>
                <w:rFonts w:asciiTheme="minorHAnsi" w:hAnsiTheme="minorHAnsi" w:cstheme="minorHAnsi"/>
                <w:bCs/>
              </w:rPr>
              <w:t>dott. Daniele Lunetta</w:t>
            </w:r>
          </w:p>
          <w:p w14:paraId="1CA600CE" w14:textId="4C3079A4" w:rsidR="00182952" w:rsidRPr="008D6E01" w:rsidRDefault="00182952" w:rsidP="00E306A4">
            <w:pPr>
              <w:spacing w:before="120" w:after="120" w:line="240" w:lineRule="auto"/>
              <w:rPr>
                <w:rFonts w:asciiTheme="minorHAnsi" w:hAnsiTheme="minorHAnsi" w:cstheme="minorHAnsi"/>
              </w:rPr>
            </w:pPr>
          </w:p>
        </w:tc>
      </w:tr>
      <w:tr w:rsidR="00182952" w:rsidRPr="008D6E01" w14:paraId="128808A4" w14:textId="77777777" w:rsidTr="00B86413">
        <w:tc>
          <w:tcPr>
            <w:tcW w:w="2250" w:type="pct"/>
            <w:tcBorders>
              <w:top w:val="nil"/>
            </w:tcBorders>
            <w:shd w:val="clear" w:color="auto" w:fill="DEEAF6"/>
          </w:tcPr>
          <w:p w14:paraId="00AC392F" w14:textId="77777777"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6A1A6B02"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14:paraId="169C9E62" w14:textId="77777777" w:rsidTr="00B86413">
        <w:trPr>
          <w:trHeight w:val="769"/>
        </w:trPr>
        <w:tc>
          <w:tcPr>
            <w:tcW w:w="2250" w:type="pct"/>
            <w:shd w:val="clear" w:color="auto" w:fill="DEEAF6"/>
          </w:tcPr>
          <w:p w14:paraId="07C04383" w14:textId="77777777"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75EABA73" w14:textId="77777777"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14:paraId="48FFC104" w14:textId="36D70265" w:rsidR="00182952" w:rsidRPr="00202109" w:rsidRDefault="00642730" w:rsidP="00202109">
            <w:pPr>
              <w:spacing w:after="0" w:line="276" w:lineRule="auto"/>
              <w:rPr>
                <w:rFonts w:asciiTheme="minorHAnsi" w:hAnsiTheme="minorHAnsi" w:cstheme="minorHAnsi"/>
                <w:i/>
              </w:rPr>
            </w:pPr>
            <w:r w:rsidRPr="00642730">
              <w:rPr>
                <w:rFonts w:asciiTheme="minorHAnsi" w:hAnsiTheme="minorHAnsi" w:cstheme="minorHAnsi"/>
              </w:rPr>
              <w:t xml:space="preserve">MLPS - </w:t>
            </w:r>
            <w:r w:rsidR="00A81BF2" w:rsidRPr="00A81BF2">
              <w:rPr>
                <w:rFonts w:asciiTheme="minorHAnsi" w:hAnsiTheme="minorHAnsi" w:cstheme="minorHAnsi"/>
              </w:rPr>
              <w:t>Ministero del Lavoro e delle Politiche Sociali Dipartimento per l’innovazione, l’amministrazione generale, il personale e i servizi - Autorità di Audit</w:t>
            </w:r>
          </w:p>
        </w:tc>
      </w:tr>
      <w:tr w:rsidR="00202109" w:rsidRPr="008D6E01" w14:paraId="0F57C0ED" w14:textId="77777777" w:rsidTr="00B86413">
        <w:tc>
          <w:tcPr>
            <w:tcW w:w="2250" w:type="pct"/>
            <w:shd w:val="clear" w:color="auto" w:fill="DEEAF6"/>
            <w:vAlign w:val="center"/>
          </w:tcPr>
          <w:p w14:paraId="1174C69C" w14:textId="77777777"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47F3FA34"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14:paraId="75D28B2F"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14:paraId="2932724D" w14:textId="6E351AB4" w:rsidR="00202109" w:rsidRPr="00AF582A" w:rsidRDefault="00642730" w:rsidP="008E4719">
            <w:pPr>
              <w:autoSpaceDE w:val="0"/>
              <w:autoSpaceDN w:val="0"/>
              <w:adjustRightInd w:val="0"/>
              <w:rPr>
                <w:rFonts w:ascii="Titillium light" w:hAnsi="Titillium light" w:cs="ArialMT-OneByteIdentityH"/>
                <w:i/>
                <w:color w:val="262626" w:themeColor="text1" w:themeTint="D9"/>
                <w:sz w:val="24"/>
                <w:szCs w:val="24"/>
              </w:rPr>
            </w:pPr>
            <w:proofErr w:type="spellStart"/>
            <w:r>
              <w:rPr>
                <w:rFonts w:asciiTheme="minorHAnsi" w:hAnsiTheme="minorHAnsi" w:cstheme="minorHAnsi"/>
              </w:rPr>
              <w:t>Xxx</w:t>
            </w:r>
            <w:proofErr w:type="spellEnd"/>
            <w:r>
              <w:rPr>
                <w:rFonts w:asciiTheme="minorHAnsi" w:hAnsiTheme="minorHAnsi" w:cstheme="minorHAnsi"/>
              </w:rPr>
              <w:t xml:space="preserve"> </w:t>
            </w:r>
            <w:r w:rsidR="00202109" w:rsidRPr="00202109">
              <w:rPr>
                <w:rFonts w:asciiTheme="minorHAnsi" w:hAnsiTheme="minorHAnsi" w:cstheme="minorHAnsi"/>
              </w:rPr>
              <w:t xml:space="preserve"> S.P.A.</w:t>
            </w:r>
          </w:p>
        </w:tc>
      </w:tr>
      <w:tr w:rsidR="00182952" w:rsidRPr="008D6E01" w14:paraId="66D8DDC9" w14:textId="77777777" w:rsidTr="00B86413">
        <w:tc>
          <w:tcPr>
            <w:tcW w:w="2250" w:type="pct"/>
            <w:shd w:val="clear" w:color="auto" w:fill="DEEAF6"/>
          </w:tcPr>
          <w:p w14:paraId="34910C7B" w14:textId="77777777"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3B988FFE"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14:paraId="28C1520B" w14:textId="77777777" w:rsidR="00182952" w:rsidRPr="008D6E01" w:rsidRDefault="00182952" w:rsidP="00B462F4">
      <w:pPr>
        <w:tabs>
          <w:tab w:val="left" w:pos="567"/>
        </w:tabs>
        <w:rPr>
          <w:rFonts w:asciiTheme="minorHAnsi" w:hAnsiTheme="minorHAnsi" w:cstheme="minorHAnsi"/>
          <w:b/>
          <w:bCs/>
        </w:rPr>
      </w:pPr>
    </w:p>
    <w:p w14:paraId="1B754AA9" w14:textId="77777777" w:rsidR="00182952" w:rsidRPr="008D6E01" w:rsidRDefault="00182952" w:rsidP="00B462F4">
      <w:pPr>
        <w:spacing w:line="240" w:lineRule="auto"/>
        <w:rPr>
          <w:rFonts w:asciiTheme="minorHAnsi" w:hAnsiTheme="minorHAnsi" w:cstheme="minorHAnsi"/>
          <w:b/>
          <w:bCs/>
        </w:rPr>
      </w:pPr>
    </w:p>
    <w:p w14:paraId="7DBE06FD"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7E1F10B1" w14:textId="77777777" w:rsidR="00583F7F" w:rsidRDefault="00583F7F" w:rsidP="00433DAF">
      <w:pPr>
        <w:pStyle w:val="Titolo1"/>
        <w:spacing w:after="240"/>
        <w:rPr>
          <w:rFonts w:asciiTheme="minorHAnsi" w:hAnsiTheme="minorHAnsi" w:cstheme="minorHAnsi"/>
          <w:b/>
          <w:caps/>
          <w:color w:val="002060"/>
          <w:sz w:val="22"/>
          <w:szCs w:val="22"/>
        </w:rPr>
      </w:pPr>
    </w:p>
    <w:p w14:paraId="08D04F04"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3A73F18B"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0D0637F7" w14:textId="63D7868E"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w:t>
      </w:r>
      <w:r w:rsidR="00FC6AAF">
        <w:rPr>
          <w:rFonts w:asciiTheme="minorHAnsi" w:hAnsiTheme="minorHAnsi" w:cstheme="minorHAnsi"/>
          <w:color w:val="000000"/>
        </w:rPr>
        <w:t>s</w:t>
      </w:r>
      <w:r w:rsidRPr="008D6E01">
        <w:rPr>
          <w:rFonts w:asciiTheme="minorHAnsi" w:hAnsiTheme="minorHAnsi" w:cstheme="minorHAnsi"/>
          <w:color w:val="000000"/>
        </w:rPr>
        <w:t>crivente Autorità ha riguardato l’analisi sulla presentazione annuale dei conti da parte dell’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per il Programma Operativo Nazionale </w:t>
      </w:r>
      <w:r w:rsidR="001F3E95">
        <w:rPr>
          <w:rFonts w:asciiTheme="minorHAnsi" w:hAnsiTheme="minorHAnsi" w:cstheme="minorHAnsi"/>
          <w:color w:val="000000"/>
        </w:rPr>
        <w:t>“</w:t>
      </w:r>
      <w:r w:rsidR="00F416F1">
        <w:rPr>
          <w:rFonts w:asciiTheme="minorHAnsi" w:hAnsiTheme="minorHAnsi" w:cstheme="minorHAnsi"/>
          <w:color w:val="262626"/>
        </w:rPr>
        <w:t>SISTEMI DI POLITICHE ATTIVE PER L’OCCUPAZIONE</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429DC9BC"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3A510451"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511F7B28" w14:textId="77777777"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La Scrivente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3FC47E4E" w14:textId="7777777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14:paraId="702E48D4"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3AACECB2"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w:t>
      </w:r>
      <w:proofErr w:type="spellStart"/>
      <w:r w:rsidRPr="00941781">
        <w:rPr>
          <w:rFonts w:asciiTheme="minorHAnsi" w:hAnsiTheme="minorHAnsi" w:cstheme="minorHAnsi"/>
          <w:i/>
          <w:iCs/>
          <w:color w:val="365F91" w:themeColor="accent1" w:themeShade="BF"/>
        </w:rPr>
        <w:t>l’AdA</w:t>
      </w:r>
      <w:proofErr w:type="spellEnd"/>
      <w:r w:rsidRPr="00941781">
        <w:rPr>
          <w:rFonts w:asciiTheme="minorHAnsi" w:hAnsiTheme="minorHAnsi" w:cstheme="minorHAnsi"/>
          <w:i/>
          <w:iCs/>
          <w:color w:val="365F91" w:themeColor="accent1" w:themeShade="BF"/>
        </w:rPr>
        <w:t xml:space="preserve">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17012FEC"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2398409C" w14:textId="77777777"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di correggere ulteriormente i suoi conti prima della certificazione alla Commissione.</w:t>
      </w:r>
    </w:p>
    <w:p w14:paraId="22F36C47"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6F8D9DD5"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t>Le verifiche effettuate dall’</w:t>
      </w:r>
      <w:r w:rsidR="00F2506E">
        <w:rPr>
          <w:rFonts w:asciiTheme="minorHAnsi" w:hAnsiTheme="minorHAnsi" w:cstheme="minorHAnsi"/>
        </w:rPr>
        <w:t xml:space="preserve"> </w:t>
      </w:r>
      <w:proofErr w:type="spellStart"/>
      <w:r w:rsidR="00182952" w:rsidRPr="008D6E01">
        <w:rPr>
          <w:rFonts w:asciiTheme="minorHAnsi" w:hAnsiTheme="minorHAnsi" w:cstheme="minorHAnsi"/>
        </w:rPr>
        <w:t>AdA</w:t>
      </w:r>
      <w:proofErr w:type="spellEnd"/>
      <w:r w:rsidR="00182952" w:rsidRPr="008D6E01">
        <w:rPr>
          <w:rFonts w:asciiTheme="minorHAnsi" w:hAnsiTheme="minorHAnsi" w:cstheme="minorHAnsi"/>
        </w:rPr>
        <w:t xml:space="preserve"> sui conti predisposti dall’</w:t>
      </w:r>
      <w:proofErr w:type="spellStart"/>
      <w:r w:rsidR="00182952" w:rsidRPr="008D6E01">
        <w:rPr>
          <w:rFonts w:asciiTheme="minorHAnsi" w:hAnsiTheme="minorHAnsi" w:cstheme="minorHAnsi"/>
        </w:rPr>
        <w:t>AdC</w:t>
      </w:r>
      <w:proofErr w:type="spellEnd"/>
      <w:r w:rsidR="00182952" w:rsidRPr="008D6E01">
        <w:rPr>
          <w:rFonts w:asciiTheme="minorHAnsi" w:hAnsiTheme="minorHAnsi" w:cstheme="minorHAnsi"/>
        </w:rPr>
        <w:t xml:space="preserve"> hanno riguardato principalmente i seguenti aspetti:</w:t>
      </w:r>
    </w:p>
    <w:p w14:paraId="26ECDD8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 xml:space="preserve">il rispetto della tempistica definita per la predisposizione e trasmissione dei conti </w:t>
      </w:r>
      <w:proofErr w:type="spellStart"/>
      <w:r w:rsidRPr="008D6E01">
        <w:rPr>
          <w:rFonts w:asciiTheme="minorHAnsi" w:hAnsiTheme="minorHAnsi" w:cstheme="minorHAnsi"/>
          <w:color w:val="000000"/>
        </w:rPr>
        <w:t>all’AdA</w:t>
      </w:r>
      <w:proofErr w:type="spellEnd"/>
      <w:r w:rsidRPr="008D6E01">
        <w:rPr>
          <w:rFonts w:asciiTheme="minorHAnsi" w:hAnsiTheme="minorHAnsi" w:cstheme="minorHAnsi"/>
          <w:color w:val="000000"/>
        </w:rPr>
        <w:t>, allo scopo di garantire la sua presentazione alla Commissione entro il 15 febbraio dell’esercizio successivo;</w:t>
      </w:r>
    </w:p>
    <w:p w14:paraId="67FA71B5"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14:paraId="0DE91069"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14:paraId="412755F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1D1921E6"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6836272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00880E22"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7E92EC77"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6586815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14:paraId="741C2856"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l’adeguatezza delle informazioni e della documentazione disponibile presso l'</w:t>
      </w:r>
      <w:proofErr w:type="spellStart"/>
      <w:r w:rsidRPr="008D6E01">
        <w:rPr>
          <w:rFonts w:asciiTheme="minorHAnsi" w:hAnsiTheme="minorHAnsi" w:cstheme="minorHAnsi"/>
          <w:color w:val="000000"/>
        </w:rPr>
        <w:t>AdG</w:t>
      </w:r>
      <w:proofErr w:type="spellEnd"/>
      <w:r w:rsidRPr="008D6E01">
        <w:rPr>
          <w:rFonts w:asciiTheme="minorHAnsi" w:hAnsiTheme="minorHAnsi" w:cstheme="minorHAnsi"/>
          <w:color w:val="000000"/>
        </w:rPr>
        <w:t xml:space="preserve"> e 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al fine di giustificare i contributi del programma erogati agli strumenti finanziari nonché gli anticipi degli aiuti di Stato pagati ai beneficiari. </w:t>
      </w:r>
    </w:p>
    <w:p w14:paraId="77446D9D"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172E2257"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5FE81249"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65125A93"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B02C23B"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03E20570"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10F74F6A" w14:textId="7806139F"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 xml:space="preserve">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xml:space="preserve">) </w:t>
      </w:r>
      <w:r w:rsidR="00FC6AAF">
        <w:rPr>
          <w:rFonts w:asciiTheme="minorHAnsi" w:hAnsiTheme="minorHAnsi" w:cstheme="minorHAnsi"/>
          <w:color w:val="000000"/>
        </w:rPr>
        <w:t>n.</w:t>
      </w:r>
      <w:r w:rsidRPr="008D6E01">
        <w:rPr>
          <w:rFonts w:asciiTheme="minorHAnsi" w:hAnsiTheme="minorHAnsi" w:cstheme="minorHAnsi"/>
          <w:color w:val="000000"/>
        </w:rPr>
        <w:t>1046</w:t>
      </w:r>
      <w:r w:rsidR="00FC6AAF">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FC6AAF">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n. 966/2012;</w:t>
      </w:r>
    </w:p>
    <w:p w14:paraId="7AAE520C"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0C8E8D9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53D9F394" w14:textId="77777777"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2016/568 della Commissione del 29 gennaio 2016, riguardo alle condizioni e procedure per determinare se gli importi non recuperabili debbano essere rimborsati dagli Stati membri. </w:t>
      </w:r>
    </w:p>
    <w:p w14:paraId="6B6250ED"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35C77DF9"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41388642"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308372C9"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3DD75692"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0920F8CF"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50F5C18A"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71D5146E" w14:textId="5B253A98" w:rsidR="00C37726" w:rsidRPr="00201578" w:rsidRDefault="00C37726" w:rsidP="00C37726">
      <w:pPr>
        <w:autoSpaceDE w:val="0"/>
        <w:autoSpaceDN w:val="0"/>
        <w:adjustRightInd w:val="0"/>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L’organismo di audit indipendente che ha redatto la presente relazione è l’Autorità di audit del PON “Sistemi di Politica Attiva per l’Occupazione” individuata, con D.M. del 4 novembre 2014 di attuazione del DPCM 14 febbraio 2014 n. 121, nel Ministero del Lavoro e delle Politiche Sociali – Direzione generale per le Politiche Attive del Lavoro.</w:t>
      </w:r>
    </w:p>
    <w:p w14:paraId="550BB18B" w14:textId="4EDF3D17" w:rsidR="00201578" w:rsidRPr="00201578" w:rsidRDefault="00201578" w:rsidP="00201578">
      <w:pPr>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lastRenderedPageBreak/>
        <w:t xml:space="preserve">Relativamente </w:t>
      </w:r>
      <w:r w:rsidRPr="00201578">
        <w:rPr>
          <w:rFonts w:asciiTheme="minorHAnsi" w:hAnsiTheme="minorHAnsi" w:cstheme="minorHAnsi"/>
          <w:color w:val="262626"/>
          <w:highlight w:val="cyan"/>
        </w:rPr>
        <w:t xml:space="preserve">all’inizio del periodo di programmazione 2014 - 2020 </w:t>
      </w:r>
      <w:r w:rsidRPr="00201578">
        <w:rPr>
          <w:rFonts w:asciiTheme="minorHAnsi" w:hAnsiTheme="minorHAnsi" w:cstheme="minorHAnsi"/>
          <w:color w:val="262626"/>
          <w:highlight w:val="cyan"/>
        </w:rPr>
        <w:t xml:space="preserve">, l’autorità di Audit, </w:t>
      </w:r>
      <w:r w:rsidRPr="00201578">
        <w:rPr>
          <w:rFonts w:asciiTheme="minorHAnsi" w:hAnsiTheme="minorHAnsi" w:cstheme="minorHAnsi"/>
          <w:color w:val="262626"/>
          <w:highlight w:val="cyan"/>
        </w:rPr>
        <w:t>era un organismo che operava in posizione di staff presso il Segretariato Generale, con conseguente effettiva indipendenza organizzativa e funzionale rispetto alle altre Autorità del Programma Operativo, indipendenza validata dal Ministero dell’Economia e delle Finanze – Dipartimento della Ragioneria Generale dello Stato – Ispettorato Generale per i Rapporti Finanziari con l’Unione Europea, che, in qualità di Organismo di coordinamento nazionale delle funzioni di audit, con nota prot. n. 6558 del 28.01.2015, ha trasmesso il proprio parere senza riserve sulla designazione della scrivente Autorità di Audit, parere positivo confermato con nota prot. 102745 del 22/01/2016.</w:t>
      </w:r>
    </w:p>
    <w:p w14:paraId="3CA703E1" w14:textId="77777777" w:rsidR="00201578" w:rsidRPr="00201578" w:rsidRDefault="00201578" w:rsidP="00201578">
      <w:pPr>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Con il processo riorganizzativo intervenuto nel 2017 il Responsabile della prevenzione della corruzione e della trasparenza, che operava presso il Segretariato Generale, assicurava le funzioni di Autorità di Audit dei Fondi Europei, al fine di garantire terzietà rispetto alle funzioni di gestione e di certificazione.</w:t>
      </w:r>
    </w:p>
    <w:p w14:paraId="6E4C952B" w14:textId="77777777" w:rsidR="00201578" w:rsidRPr="00201578" w:rsidRDefault="00201578" w:rsidP="00201578">
      <w:pPr>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 xml:space="preserve">Con il Decreto del Presidente del Consiglio dei Ministri n. 140 del 24 giugno 2021, è stato approvato il “Regolamento concernente modifiche al regolamento di organizzazione del Ministero del lavoro e delle politiche sociali”, pubblicato nella Gazzetta Ufficiale - serie generale - n. 241 del 8 ottobre 2021, con il quale è stata istituita la Direzione Generale delle politiche attive del Lavoro alla quale sono state assegnate “le funzioni dell'autorità di audit dei Fondi strutturali e di investimento europei per i programmi operativi del Ministero del Lavoro e delle Politiche Sociali, nonché dell'Agenzia Nazionale per le Politiche Attive del Lavoro”. </w:t>
      </w:r>
    </w:p>
    <w:p w14:paraId="0B0388F0" w14:textId="77777777" w:rsidR="00201578" w:rsidRPr="00201578" w:rsidRDefault="00201578" w:rsidP="00201578">
      <w:pPr>
        <w:autoSpaceDE w:val="0"/>
        <w:autoSpaceDN w:val="0"/>
        <w:adjustRightInd w:val="0"/>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 xml:space="preserve">A seguito dell’adozione del Decreto Ministeriale del 25 gennaio 2022, n. 13, pubblicato sulla G.U. serie generale n. 60 del 12 marzo 2022, recante "Individuazione delle unità organizzative di livello dirigenziale non generale nell’ambito del Segretariato generale e delle Direzioni generali",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21A90B79" w14:textId="77777777" w:rsidR="00201578" w:rsidRPr="00201578" w:rsidRDefault="00201578" w:rsidP="00201578">
      <w:pPr>
        <w:autoSpaceDE w:val="0"/>
        <w:autoSpaceDN w:val="0"/>
        <w:adjustRightInd w:val="0"/>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Con Decreto Direttoriale n. 44.0000027 dell’8 giugno 2022 ed annesso contratto, è stato conferito alla dott.ssa Loredana Cafarda l’incarico dirigenziale della Divisione III della Direzione Generale delle politiche attive del lavoro, in qualità di Autorità di Audit del PON Inclusione, del PON IOG, del PON SPAO, del FEAD e del FEG.</w:t>
      </w:r>
    </w:p>
    <w:p w14:paraId="6D29E1D8" w14:textId="77777777" w:rsidR="00201578" w:rsidRPr="00201578" w:rsidRDefault="00201578" w:rsidP="00201578">
      <w:pPr>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 xml:space="preserve">Con il decreto del Presidente del Consiglio dei ministri n. 230 del 22 novembre 2023, recante “Riorganizzazione del Ministero del lavoro e delle politiche sociali e degli Uffici di diretta collaborazione” </w:t>
      </w:r>
      <w:r w:rsidRPr="00201578">
        <w:rPr>
          <w:rFonts w:asciiTheme="minorHAnsi" w:hAnsiTheme="minorHAnsi" w:cstheme="minorHAnsi"/>
          <w:color w:val="262626"/>
          <w:highlight w:val="cyan"/>
        </w:rPr>
        <w:lastRenderedPageBreak/>
        <w:t xml:space="preserve">(Gazzetta Ufficiale della Repubblica Italiana, Serie generale n. 38 del 15 febbraio 2024, entrato in vigore il 1° marzo 2024) è stata delineata la nuova organizzazione del Ministero del lavoro con la suddivisione in tre Dipartimenti: Dipartimento per le politiche sociali, del terzo settore e migratorie; Dipartimento per le politiche del lavoro, previdenziali, assicurative e per la salute e la sicurezza nei luoghi di lavoro; Dipartimento per l’innovazione, l’amministrazione generale, il personale e i servizi. </w:t>
      </w:r>
    </w:p>
    <w:p w14:paraId="7ACA00D8" w14:textId="77777777" w:rsidR="00201578" w:rsidRPr="00201578" w:rsidRDefault="00201578" w:rsidP="00201578">
      <w:pPr>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 xml:space="preserve">Nell’ambito di tale nuova organizzazione, l’Autorità di Audit (Rif. art. 30, c. 2) è stata collocata in posizione di ufficio di staff del Capo del Dipartimento per l’innovazione, l’amministrazione generale, il personale e i servizi. </w:t>
      </w:r>
    </w:p>
    <w:p w14:paraId="328F5588" w14:textId="77777777" w:rsidR="00201578" w:rsidRPr="00201578" w:rsidRDefault="00201578" w:rsidP="00201578">
      <w:pPr>
        <w:spacing w:after="120" w:line="360" w:lineRule="auto"/>
        <w:jc w:val="both"/>
        <w:rPr>
          <w:rFonts w:asciiTheme="minorHAnsi" w:hAnsiTheme="minorHAnsi" w:cstheme="minorHAnsi"/>
          <w:color w:val="262626"/>
          <w:highlight w:val="cyan"/>
        </w:rPr>
      </w:pPr>
      <w:r w:rsidRPr="00201578">
        <w:rPr>
          <w:rFonts w:asciiTheme="minorHAnsi" w:hAnsiTheme="minorHAnsi" w:cstheme="minorHAnsi"/>
          <w:color w:val="262626"/>
          <w:highlight w:val="cyan"/>
        </w:rPr>
        <w:t>Nelle more del completamento della procedura di riorganizzazione, con direttiva MLPS del 27 febbraio 2024 n. 26, sono state fornite indicazioni finalizzate a regolamentare e gestire la fase transitoria. In particolare, la suddetta direttiva prevede che l’attuale Divisione III della Direzione generale delle politiche attive del lavoro, limitatamente alle attività di Audit dei fondi strutturali e di investimento europei, risponde al Capo Dipartimento per l’innovazione, l’amministrazione generale, il personale e i servizi.</w:t>
      </w:r>
      <w:r w:rsidRPr="00201578">
        <w:rPr>
          <w:rFonts w:asciiTheme="minorHAnsi" w:hAnsiTheme="minorHAnsi" w:cstheme="minorBidi"/>
          <w:color w:val="000000" w:themeColor="text1"/>
          <w:sz w:val="24"/>
          <w:szCs w:val="24"/>
          <w:highlight w:val="cyan"/>
        </w:rPr>
        <w:t xml:space="preserve"> </w:t>
      </w:r>
      <w:r w:rsidRPr="00201578">
        <w:rPr>
          <w:rFonts w:asciiTheme="minorHAnsi" w:hAnsiTheme="minorHAnsi" w:cstheme="minorHAnsi"/>
          <w:color w:val="262626"/>
          <w:highlight w:val="cyan"/>
        </w:rPr>
        <w:t xml:space="preserve">L’attuale struttura organizzazione </w:t>
      </w:r>
      <w:proofErr w:type="spellStart"/>
      <w:r w:rsidRPr="00201578">
        <w:rPr>
          <w:rFonts w:asciiTheme="minorHAnsi" w:hAnsiTheme="minorHAnsi" w:cstheme="minorHAnsi"/>
          <w:color w:val="262626"/>
          <w:highlight w:val="cyan"/>
        </w:rPr>
        <w:t>dell’AdA</w:t>
      </w:r>
      <w:proofErr w:type="spellEnd"/>
      <w:r w:rsidRPr="00201578">
        <w:rPr>
          <w:rFonts w:asciiTheme="minorHAnsi" w:hAnsiTheme="minorHAnsi" w:cstheme="minorHAnsi"/>
          <w:color w:val="262626"/>
          <w:highlight w:val="cyan"/>
        </w:rPr>
        <w:t xml:space="preserve"> è stata valutata positivamente dell’Organismo nazionale di coordinamento IGRUE, in relazione al criterio di valutazione 14.2 “personale competente e in numero adeguato” e al criterio di valutazione 14.3 “separazione delle funzioni dell’Autorità di audit”. Per entrambi i requisiti chiave il MEF- IGRUE ha formulato un giudizio in categoria 2 (cfr. nota MEF -RGS prot. n. 170044 del 17/06/2024 e nota MEF -RGS prot. n.  144757 del 23/05/2024). </w:t>
      </w:r>
    </w:p>
    <w:p w14:paraId="7BE0A080" w14:textId="77777777"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pPr>
      <w:r w:rsidRPr="00C37726">
        <w:rPr>
          <w:rFonts w:asciiTheme="minorHAnsi" w:hAnsiTheme="minorHAnsi" w:cstheme="minorHAnsi"/>
          <w:color w:val="262626"/>
        </w:rPr>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737A402A" w14:textId="5644387A" w:rsidR="00C37726" w:rsidRPr="00C37726" w:rsidRDefault="00C37726" w:rsidP="00C37726">
      <w:pPr>
        <w:autoSpaceDE w:val="0"/>
        <w:autoSpaceDN w:val="0"/>
        <w:adjustRightInd w:val="0"/>
        <w:spacing w:after="120" w:line="360" w:lineRule="auto"/>
        <w:jc w:val="both"/>
        <w:rPr>
          <w:rFonts w:asciiTheme="minorHAnsi" w:hAnsiTheme="minorHAnsi" w:cstheme="minorHAnsi"/>
          <w:color w:val="262626"/>
        </w:rPr>
        <w:sectPr w:rsidR="00C37726" w:rsidRPr="00C37726">
          <w:pgSz w:w="11906" w:h="16838"/>
          <w:pgMar w:top="2694" w:right="1274" w:bottom="1134" w:left="1134" w:header="708" w:footer="708" w:gutter="0"/>
          <w:cols w:space="708"/>
          <w:docGrid w:linePitch="360"/>
        </w:sectPr>
      </w:pPr>
      <w:proofErr w:type="spellStart"/>
      <w:r w:rsidRPr="00C37726">
        <w:rPr>
          <w:rFonts w:asciiTheme="minorHAnsi" w:hAnsiTheme="minorHAnsi" w:cstheme="minorHAnsi"/>
          <w:color w:val="262626"/>
        </w:rPr>
        <w:t>L’AdA</w:t>
      </w:r>
      <w:proofErr w:type="spellEnd"/>
      <w:r w:rsidRPr="00C37726">
        <w:rPr>
          <w:rFonts w:asciiTheme="minorHAnsi" w:hAnsiTheme="minorHAnsi" w:cstheme="minorHAnsi"/>
          <w:color w:val="262626"/>
        </w:rPr>
        <w:t xml:space="preserve"> si avvale del supporto del servizio di Assistenza tecnica fornito dalla società KPMG S.p.A., operatore economico aggiudicatario del lotto 1 della Gara per l’affidamento dei servizi di supporto e assistenza tecnica per l’esercizio e lo sviluppo della funzione di sorveglianza e audit dei programmi cofinanziati dall’Unione europea indetta da Consip Spa il 17 dicembre 2021 (pubblicata in GUUE n. S 248 e GURI n.148), in esito alla quale, in data 8 agosto 202</w:t>
      </w:r>
      <w:r w:rsidR="007611C9">
        <w:rPr>
          <w:rFonts w:asciiTheme="minorHAnsi" w:hAnsiTheme="minorHAnsi" w:cstheme="minorHAnsi"/>
          <w:color w:val="262626"/>
        </w:rPr>
        <w:t>2</w:t>
      </w:r>
      <w:r w:rsidRPr="00C37726">
        <w:rPr>
          <w:rFonts w:asciiTheme="minorHAnsi" w:hAnsiTheme="minorHAnsi" w:cstheme="minorHAnsi"/>
          <w:color w:val="262626"/>
        </w:rPr>
        <w:t>, è stato stipulato l’Ordine di Acquisto dell’Accordo Quadro tra l’Autorità di audit e la società fornitrice del servizio con decorrenza dal 20 settembre 2023 fino al 30 aprile 2025.</w:t>
      </w:r>
    </w:p>
    <w:p w14:paraId="18488D8A" w14:textId="34421AD1" w:rsidR="00182952" w:rsidRPr="008D6E01" w:rsidRDefault="00C77BA4" w:rsidP="00C77BA4">
      <w:pPr>
        <w:spacing w:after="0" w:line="360" w:lineRule="auto"/>
        <w:jc w:val="both"/>
        <w:rPr>
          <w:rFonts w:asciiTheme="minorHAnsi" w:hAnsiTheme="minorHAnsi" w:cstheme="minorHAnsi"/>
          <w:b/>
          <w:caps/>
          <w:color w:val="002060"/>
        </w:rPr>
      </w:pPr>
      <w:r>
        <w:rPr>
          <w:rFonts w:asciiTheme="minorHAnsi" w:hAnsiTheme="minorHAnsi" w:cstheme="minorHAnsi"/>
        </w:rPr>
        <w:lastRenderedPageBreak/>
        <w:t xml:space="preserve"> </w:t>
      </w:r>
      <w:bookmarkStart w:id="3" w:name="_Toc38623449"/>
      <w:r w:rsidR="00182952" w:rsidRPr="008D6E01">
        <w:rPr>
          <w:rFonts w:asciiTheme="minorHAnsi" w:hAnsiTheme="minorHAnsi" w:cstheme="minorHAnsi"/>
          <w:b/>
          <w:caps/>
          <w:color w:val="002060"/>
        </w:rPr>
        <w:t>Ambito del controllo</w:t>
      </w:r>
      <w:bookmarkEnd w:id="3"/>
    </w:p>
    <w:p w14:paraId="326AAC25" w14:textId="743F751C"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F416F1">
        <w:rPr>
          <w:rFonts w:asciiTheme="minorHAnsi" w:hAnsiTheme="minorHAnsi" w:cstheme="minorHAnsi"/>
          <w:b/>
          <w:color w:val="262626"/>
        </w:rPr>
        <w:t>SISTEMI DI POLITICHE ATTIVE PER L’OCCUPAZIONE</w:t>
      </w:r>
      <w:r w:rsidR="0054064A">
        <w:rPr>
          <w:rFonts w:asciiTheme="minorHAnsi" w:hAnsiTheme="minorHAnsi" w:cstheme="minorHAnsi"/>
          <w:b/>
          <w:color w:val="262626"/>
        </w:rPr>
        <w:t xml:space="preserve"> (</w:t>
      </w:r>
      <w:r w:rsidR="008F1911" w:rsidRPr="008F1911">
        <w:rPr>
          <w:rFonts w:asciiTheme="minorHAnsi" w:hAnsiTheme="minorHAnsi" w:cstheme="minorHAnsi"/>
          <w:b/>
          <w:bCs/>
        </w:rPr>
        <w:t>CCI 2014IT05SFOP002</w:t>
      </w:r>
      <w:r w:rsidRPr="008D6E01">
        <w:rPr>
          <w:rFonts w:asciiTheme="minorHAnsi" w:hAnsiTheme="minorHAnsi" w:cstheme="minorHAnsi"/>
          <w:color w:val="262626"/>
        </w:rPr>
        <w:t xml:space="preserve">), finanziato dall’Unione </w:t>
      </w:r>
      <w:r w:rsidR="007611C9">
        <w:rPr>
          <w:rFonts w:asciiTheme="minorHAnsi" w:hAnsiTheme="minorHAnsi" w:cstheme="minorHAnsi"/>
          <w:color w:val="262626"/>
        </w:rPr>
        <w:t>e</w:t>
      </w:r>
      <w:r w:rsidRPr="008D6E01">
        <w:rPr>
          <w:rFonts w:asciiTheme="minorHAnsi" w:hAnsiTheme="minorHAnsi" w:cstheme="minorHAnsi"/>
          <w:color w:val="262626"/>
        </w:rPr>
        <w:t xml:space="preserve">uropea con risorse </w:t>
      </w:r>
      <w:r w:rsidRPr="00AB0A0D">
        <w:rPr>
          <w:rFonts w:asciiTheme="minorHAnsi" w:hAnsiTheme="minorHAnsi" w:cstheme="minorHAnsi"/>
          <w:color w:val="262626"/>
        </w:rPr>
        <w:t>a valere sul Fondo Sociale Europeo per il periodo di programmazione 2014-2020.</w:t>
      </w:r>
    </w:p>
    <w:p w14:paraId="415AC615" w14:textId="649342BB"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w:t>
      </w:r>
      <w:r w:rsidR="007611C9">
        <w:rPr>
          <w:rFonts w:asciiTheme="minorHAnsi" w:hAnsiTheme="minorHAnsi" w:cstheme="minorHAnsi"/>
          <w:color w:val="262626"/>
        </w:rPr>
        <w:t>s</w:t>
      </w:r>
      <w:r w:rsidRPr="008D6E01">
        <w:rPr>
          <w:rFonts w:asciiTheme="minorHAnsi" w:hAnsiTheme="minorHAnsi" w:cstheme="minorHAnsi"/>
          <w:color w:val="262626"/>
        </w:rPr>
        <w:t xml:space="preserve">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w:t>
      </w:r>
      <w:proofErr w:type="spellStart"/>
      <w:r w:rsidR="00C11CD9" w:rsidRPr="0052323D">
        <w:rPr>
          <w:rFonts w:asciiTheme="minorHAnsi" w:hAnsiTheme="minorHAnsi" w:cstheme="minorHAnsi"/>
          <w:color w:val="262626"/>
        </w:rPr>
        <w:t>AdC</w:t>
      </w:r>
      <w:proofErr w:type="spellEnd"/>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526DE7C6"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w:t>
      </w:r>
      <w:proofErr w:type="spellStart"/>
      <w:r w:rsidRPr="008D6E01">
        <w:rPr>
          <w:rFonts w:asciiTheme="minorHAnsi" w:hAnsiTheme="minorHAnsi" w:cstheme="minorHAnsi"/>
        </w:rPr>
        <w:t>AdC</w:t>
      </w:r>
      <w:proofErr w:type="spellEnd"/>
      <w:r w:rsidRPr="008D6E01">
        <w:rPr>
          <w:rFonts w:asciiTheme="minorHAnsi" w:hAnsiTheme="minorHAnsi" w:cstheme="minorHAnsi"/>
        </w:rPr>
        <w:t xml:space="preserve"> alla Commissi</w:t>
      </w:r>
      <w:r w:rsidR="00E324C0">
        <w:rPr>
          <w:rFonts w:asciiTheme="minorHAnsi" w:hAnsiTheme="minorHAnsi" w:cstheme="minorHAnsi"/>
        </w:rPr>
        <w:t>one europea a fini del rimborso.</w:t>
      </w:r>
    </w:p>
    <w:p w14:paraId="5D617018" w14:textId="77777777" w:rsidR="00E324C0" w:rsidRDefault="00E324C0" w:rsidP="00B06195">
      <w:pPr>
        <w:spacing w:after="0" w:line="360" w:lineRule="auto"/>
        <w:jc w:val="both"/>
        <w:rPr>
          <w:rFonts w:asciiTheme="minorHAnsi" w:hAnsiTheme="minorHAnsi" w:cstheme="minorHAnsi"/>
        </w:rPr>
      </w:pPr>
    </w:p>
    <w:p w14:paraId="7E162866"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t>Obiettivi</w:t>
      </w:r>
      <w:bookmarkEnd w:id="4"/>
    </w:p>
    <w:p w14:paraId="3318CF89" w14:textId="0073EE62" w:rsidR="00182952" w:rsidRPr="008D6E01" w:rsidRDefault="00CA67AA" w:rsidP="003A6CAB">
      <w:pPr>
        <w:spacing w:after="0" w:line="360" w:lineRule="auto"/>
        <w:jc w:val="both"/>
        <w:rPr>
          <w:rFonts w:asciiTheme="minorHAnsi" w:hAnsiTheme="minorHAnsi" w:cstheme="minorHAnsi"/>
        </w:rPr>
      </w:pPr>
      <w:r>
        <w:rPr>
          <w:sz w:val="23"/>
          <w:szCs w:val="23"/>
        </w:rPr>
        <w:t xml:space="preserve">A norma dell'articolo 127, paragrafo 5, lettera a), del Regolamento </w:t>
      </w:r>
      <w:r w:rsidR="00DF35DF">
        <w:rPr>
          <w:sz w:val="23"/>
          <w:szCs w:val="23"/>
        </w:rPr>
        <w:t>(UE) n.</w:t>
      </w:r>
      <w:r>
        <w:rPr>
          <w:sz w:val="23"/>
          <w:szCs w:val="23"/>
        </w:rPr>
        <w:t>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proofErr w:type="spellStart"/>
      <w:r>
        <w:rPr>
          <w:sz w:val="23"/>
          <w:szCs w:val="23"/>
        </w:rPr>
        <w:t>l</w:t>
      </w:r>
      <w:r w:rsidR="00182952" w:rsidRPr="008D6E01">
        <w:rPr>
          <w:rFonts w:asciiTheme="minorHAnsi" w:hAnsiTheme="minorHAnsi" w:cstheme="minorHAnsi"/>
        </w:rPr>
        <w:t>’AdA</w:t>
      </w:r>
      <w:proofErr w:type="spellEnd"/>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59DE859F" w14:textId="6BFA17EE"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w:t>
      </w:r>
      <w:r w:rsidR="00DF35DF">
        <w:rPr>
          <w:rFonts w:asciiTheme="minorHAnsi" w:hAnsiTheme="minorHAnsi" w:cstheme="minorHAnsi"/>
        </w:rPr>
        <w:t>,</w:t>
      </w:r>
      <w:r w:rsidRPr="00025F6F">
        <w:rPr>
          <w:rFonts w:asciiTheme="minorHAnsi" w:hAnsiTheme="minorHAnsi" w:cstheme="minorHAnsi"/>
        </w:rPr>
        <w:t xml:space="preserve"> del regolamento (UE) n. 1303/2013 siano correttamente inclusi nei conti e trovino corrispondenza nei documenti contabili giustificativi conservati da tutte le autorità o da tutti gli organismi competenti e dai beneficiari. Sulla base dei conti </w:t>
      </w:r>
      <w:proofErr w:type="spellStart"/>
      <w:r w:rsidRPr="00025F6F">
        <w:rPr>
          <w:rFonts w:asciiTheme="minorHAnsi" w:hAnsiTheme="minorHAnsi" w:cstheme="minorHAnsi"/>
        </w:rPr>
        <w:t>l’AdA</w:t>
      </w:r>
      <w:proofErr w:type="spellEnd"/>
      <w:r w:rsidRPr="00025F6F">
        <w:rPr>
          <w:rFonts w:asciiTheme="minorHAnsi" w:hAnsiTheme="minorHAnsi" w:cstheme="minorHAnsi"/>
        </w:rPr>
        <w:t xml:space="preserve"> ha verificato in particolare, che:</w:t>
      </w:r>
    </w:p>
    <w:p w14:paraId="48B91035" w14:textId="44EC1022"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w:t>
      </w:r>
      <w:r w:rsidR="00DF35DF">
        <w:rPr>
          <w:rFonts w:asciiTheme="minorHAnsi" w:hAnsiTheme="minorHAnsi" w:cstheme="minorHAnsi"/>
        </w:rPr>
        <w:t>R</w:t>
      </w:r>
      <w:r w:rsidRPr="00EC6F6E">
        <w:rPr>
          <w:rFonts w:asciiTheme="minorHAnsi" w:hAnsiTheme="minorHAnsi" w:cstheme="minorHAnsi"/>
        </w:rPr>
        <w:t xml:space="preserve">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7EAFAD39" w14:textId="723D05FC"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w:t>
      </w:r>
      <w:r w:rsidR="00DF35DF">
        <w:rPr>
          <w:rFonts w:asciiTheme="minorHAnsi" w:hAnsiTheme="minorHAnsi" w:cstheme="minorHAnsi"/>
        </w:rPr>
        <w:t>R</w:t>
      </w:r>
      <w:r w:rsidRPr="00EC6F6E">
        <w:rPr>
          <w:rFonts w:asciiTheme="minorHAnsi" w:hAnsiTheme="minorHAnsi" w:cstheme="minorHAnsi"/>
        </w:rPr>
        <w:t xml:space="preserve">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34955A18" w14:textId="7C40BCDC"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lastRenderedPageBreak/>
        <w:t xml:space="preserve">le spese siano state escluse dai conti in conformità all'articolo 137, paragrafo 2, del </w:t>
      </w:r>
      <w:r w:rsidR="00DF35DF">
        <w:rPr>
          <w:rFonts w:asciiTheme="minorHAnsi" w:hAnsiTheme="minorHAnsi" w:cstheme="minorHAnsi"/>
        </w:rPr>
        <w:t>R</w:t>
      </w:r>
      <w:r w:rsidRPr="00EC6F6E">
        <w:rPr>
          <w:rFonts w:asciiTheme="minorHAnsi" w:hAnsiTheme="minorHAnsi" w:cstheme="minorHAnsi"/>
        </w:rPr>
        <w:t xml:space="preserve">egolamento (UE) n. 1303/2013, se del caso, e che tutte le rettifiche richieste si riflettano nei conti del periodo contabile in questione; </w:t>
      </w:r>
    </w:p>
    <w:p w14:paraId="60AE2442"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13B1D424" w14:textId="624BBD9F"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w:t>
      </w:r>
      <w:proofErr w:type="spellStart"/>
      <w:r w:rsidRPr="00672395">
        <w:rPr>
          <w:rFonts w:asciiTheme="minorHAnsi" w:hAnsiTheme="minorHAnsi" w:cstheme="minorHAnsi"/>
        </w:rPr>
        <w:t>dell’AdA</w:t>
      </w:r>
      <w:proofErr w:type="spellEnd"/>
      <w:r w:rsidRPr="00672395">
        <w:rPr>
          <w:rFonts w:asciiTheme="minorHAnsi" w:hAnsiTheme="minorHAnsi" w:cstheme="minorHAnsi"/>
        </w:rPr>
        <w:t xml:space="preserve"> (</w:t>
      </w:r>
      <w:r w:rsidR="007611C9">
        <w:rPr>
          <w:rFonts w:asciiTheme="minorHAnsi" w:hAnsiTheme="minorHAnsi" w:cstheme="minorHAnsi"/>
        </w:rPr>
        <w:t xml:space="preserve"> </w:t>
      </w:r>
      <w:proofErr w:type="spellStart"/>
      <w:r w:rsidR="007611C9">
        <w:rPr>
          <w:rFonts w:asciiTheme="minorHAnsi" w:hAnsiTheme="minorHAnsi" w:cstheme="minorHAnsi"/>
        </w:rPr>
        <w:t>n.XX</w:t>
      </w:r>
      <w:proofErr w:type="spellEnd"/>
      <w:r w:rsidR="000E65E3">
        <w:rPr>
          <w:rFonts w:asciiTheme="minorHAnsi" w:hAnsiTheme="minorHAnsi" w:cstheme="minorHAnsi"/>
        </w:rPr>
        <w:t xml:space="preserve"> del </w:t>
      </w:r>
      <w:r w:rsidR="007611C9">
        <w:rPr>
          <w:rFonts w:asciiTheme="minorHAnsi" w:hAnsiTheme="minorHAnsi" w:cstheme="minorHAnsi"/>
        </w:rPr>
        <w:t>XX</w:t>
      </w:r>
      <w:r w:rsidR="000E65E3">
        <w:rPr>
          <w:rFonts w:asciiTheme="minorHAnsi" w:hAnsiTheme="minorHAnsi" w:cstheme="minorHAnsi"/>
        </w:rPr>
        <w:t xml:space="preserve"> </w:t>
      </w:r>
      <w:r w:rsidR="007611C9">
        <w:rPr>
          <w:rFonts w:asciiTheme="minorHAnsi" w:hAnsiTheme="minorHAnsi" w:cstheme="minorHAnsi"/>
        </w:rPr>
        <w:t>ottobre 2024</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28242C97" w14:textId="77777777" w:rsidR="00E324C0" w:rsidRPr="00672395" w:rsidRDefault="00E324C0" w:rsidP="00B06195">
      <w:pPr>
        <w:spacing w:after="0" w:line="360" w:lineRule="auto"/>
        <w:jc w:val="both"/>
        <w:rPr>
          <w:rFonts w:asciiTheme="minorHAnsi" w:hAnsiTheme="minorHAnsi" w:cstheme="minorHAnsi"/>
        </w:rPr>
      </w:pPr>
    </w:p>
    <w:p w14:paraId="0ECF6996"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461252F8"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4805C5C4"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w:t>
      </w:r>
      <w:proofErr w:type="spellStart"/>
      <w:r w:rsidR="00C10485" w:rsidRPr="00C10485">
        <w:rPr>
          <w:rFonts w:asciiTheme="minorHAnsi" w:hAnsiTheme="minorHAnsi" w:cstheme="minorHAnsi"/>
        </w:rPr>
        <w:t>AdC</w:t>
      </w:r>
      <w:proofErr w:type="spellEnd"/>
      <w:r w:rsidR="00C10485" w:rsidRPr="00C10485">
        <w:rPr>
          <w:rFonts w:asciiTheme="minorHAnsi" w:hAnsiTheme="minorHAnsi" w:cstheme="minorHAnsi"/>
        </w:rPr>
        <w:t xml:space="preserve">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2080C998"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w:t>
      </w:r>
      <w:proofErr w:type="spellStart"/>
      <w:r>
        <w:rPr>
          <w:rFonts w:asciiTheme="minorHAnsi" w:hAnsiTheme="minorHAnsi" w:cstheme="minorHAnsi"/>
        </w:rPr>
        <w:t>AdC</w:t>
      </w:r>
      <w:proofErr w:type="spellEnd"/>
      <w:r>
        <w:rPr>
          <w:rFonts w:asciiTheme="minorHAnsi" w:hAnsiTheme="minorHAnsi" w:cstheme="minorHAnsi"/>
        </w:rPr>
        <w:t xml:space="preserve"> all’</w:t>
      </w:r>
      <w:proofErr w:type="spellStart"/>
      <w:r>
        <w:rPr>
          <w:rFonts w:asciiTheme="minorHAnsi" w:hAnsiTheme="minorHAnsi" w:cstheme="minorHAnsi"/>
        </w:rPr>
        <w:t>AdG</w:t>
      </w:r>
      <w:proofErr w:type="spellEnd"/>
      <w:r>
        <w:rPr>
          <w:rFonts w:asciiTheme="minorHAnsi" w:hAnsiTheme="minorHAnsi" w:cstheme="minorHAnsi"/>
        </w:rPr>
        <w:t xml:space="preserve">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07C29A73"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w:t>
      </w:r>
      <w:proofErr w:type="spellStart"/>
      <w:r w:rsidRPr="00D36836">
        <w:rPr>
          <w:rFonts w:asciiTheme="minorHAnsi" w:hAnsiTheme="minorHAnsi" w:cstheme="minorHAnsi"/>
        </w:rPr>
        <w:t>AdG</w:t>
      </w:r>
      <w:proofErr w:type="spellEnd"/>
      <w:r w:rsidRPr="00D36836">
        <w:rPr>
          <w:rFonts w:asciiTheme="minorHAnsi" w:hAnsiTheme="minorHAnsi" w:cstheme="minorHAnsi"/>
        </w:rPr>
        <w:t xml:space="preserve">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4FABD32A"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w:t>
      </w:r>
      <w:proofErr w:type="spellStart"/>
      <w:r w:rsidRPr="00AD6E7A">
        <w:rPr>
          <w:rFonts w:asciiTheme="minorHAnsi" w:hAnsiTheme="minorHAnsi" w:cstheme="minorHAnsi"/>
        </w:rPr>
        <w:t>AdC</w:t>
      </w:r>
      <w:proofErr w:type="spellEnd"/>
      <w:r w:rsidR="00BF7043" w:rsidRPr="00AD6E7A">
        <w:rPr>
          <w:rFonts w:asciiTheme="minorHAnsi" w:hAnsiTheme="minorHAnsi" w:cstheme="minorHAnsi"/>
        </w:rPr>
        <w:t>;</w:t>
      </w:r>
    </w:p>
    <w:p w14:paraId="0DD0E49A"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21DEA277"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750B83BF"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55CA3264"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 xml:space="preserve">Le verifiche effettuate </w:t>
      </w:r>
      <w:proofErr w:type="spellStart"/>
      <w:r w:rsidRPr="006E11D9">
        <w:rPr>
          <w:rFonts w:asciiTheme="minorHAnsi" w:hAnsiTheme="minorHAnsi" w:cstheme="minorHAnsi"/>
        </w:rPr>
        <w:t>dall’AdA</w:t>
      </w:r>
      <w:proofErr w:type="spellEnd"/>
      <w:r w:rsidRPr="006E11D9">
        <w:rPr>
          <w:rFonts w:asciiTheme="minorHAnsi" w:hAnsiTheme="minorHAnsi" w:cstheme="minorHAnsi"/>
        </w:rPr>
        <w:t xml:space="preserve"> sui conti predisposti dall’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hanno riguardato principalmente i seguenti aspetti:</w:t>
      </w:r>
    </w:p>
    <w:p w14:paraId="48FC17D8"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il rispetto della tempistica definita per la predisposizione e trasmissione dei conti </w:t>
      </w:r>
      <w:proofErr w:type="spellStart"/>
      <w:r w:rsidRPr="006E11D9">
        <w:rPr>
          <w:rFonts w:asciiTheme="minorHAnsi" w:hAnsiTheme="minorHAnsi" w:cstheme="minorHAnsi"/>
        </w:rPr>
        <w:t>all’AdA</w:t>
      </w:r>
      <w:proofErr w:type="spellEnd"/>
      <w:r w:rsidRPr="006E11D9">
        <w:rPr>
          <w:rFonts w:asciiTheme="minorHAnsi" w:hAnsiTheme="minorHAnsi" w:cstheme="minorHAnsi"/>
        </w:rPr>
        <w:t>,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0A2B9A6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il livello di dettaglio e di aggregazione dei dati indicati all'interno dei conti (a livello di ciascuna priorità e, se del caso, a livello di ogni fondo e categoria di regioni);</w:t>
      </w:r>
    </w:p>
    <w:p w14:paraId="45D02316"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14:paraId="5CDED483"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6B8B9767"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653C473F" w14:textId="6A8AB8E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la corrispondenza tra l'importo totale delle spese ammissibili registrato dall'autorità di certificazione nei propri sistemi contabili (a norma dell'articolo 137, paragrafo 1, lettera a), del </w:t>
      </w:r>
      <w:r w:rsidR="00DF35DF">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54862D67"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3A88A960"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27D6A35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7045F84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14:paraId="4753BA27"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w:t>
      </w:r>
      <w:proofErr w:type="spellStart"/>
      <w:r w:rsidRPr="006E11D9">
        <w:rPr>
          <w:rFonts w:asciiTheme="minorHAnsi" w:hAnsiTheme="minorHAnsi" w:cstheme="minorHAnsi"/>
        </w:rPr>
        <w:t>AdG</w:t>
      </w:r>
      <w:proofErr w:type="spellEnd"/>
      <w:r w:rsidRPr="006E11D9">
        <w:rPr>
          <w:rFonts w:asciiTheme="minorHAnsi" w:hAnsiTheme="minorHAnsi" w:cstheme="minorHAnsi"/>
        </w:rPr>
        <w:t xml:space="preserve"> e 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al fine di giustificare i contributi del programma erogati agli strumenti finanziari nonché gli anticipi degli aiuti di Stato pagati ai beneficiari.</w:t>
      </w:r>
    </w:p>
    <w:p w14:paraId="721940B5"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4DD45817"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66443967"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625B1675"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B7971E0"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w:t>
      </w:r>
      <w:proofErr w:type="spellStart"/>
      <w:r w:rsidRPr="00B473B3">
        <w:rPr>
          <w:rFonts w:asciiTheme="minorHAnsi" w:hAnsiTheme="minorHAnsi" w:cstheme="minorHAnsi"/>
        </w:rPr>
        <w:t>AdC</w:t>
      </w:r>
      <w:proofErr w:type="spellEnd"/>
      <w:r w:rsidRPr="00B473B3">
        <w:rPr>
          <w:rFonts w:asciiTheme="minorHAnsi" w:hAnsiTheme="minorHAnsi" w:cstheme="minorHAnsi"/>
        </w:rPr>
        <w:t>).</w:t>
      </w:r>
    </w:p>
    <w:p w14:paraId="5D128360" w14:textId="7E26D9C4"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w:t>
      </w:r>
      <w:r w:rsidR="007611C9">
        <w:rPr>
          <w:rFonts w:asciiTheme="minorHAnsi" w:hAnsiTheme="minorHAnsi" w:cstheme="minorHAnsi"/>
          <w:i/>
          <w:iCs/>
          <w:color w:val="365F91" w:themeColor="accent1" w:themeShade="BF"/>
        </w:rPr>
        <w:t>c</w:t>
      </w:r>
      <w:r w:rsidR="00025F6F" w:rsidRPr="006614F3">
        <w:rPr>
          <w:rFonts w:asciiTheme="minorHAnsi" w:hAnsiTheme="minorHAnsi" w:cstheme="minorHAnsi"/>
          <w:i/>
          <w:iCs/>
          <w:color w:val="365F91" w:themeColor="accent1" w:themeShade="BF"/>
        </w:rPr>
        <w:t xml:space="preserve">onti </w:t>
      </w:r>
      <w:r w:rsidR="007611C9">
        <w:rPr>
          <w:rFonts w:asciiTheme="minorHAnsi" w:hAnsiTheme="minorHAnsi" w:cstheme="minorHAnsi"/>
          <w:i/>
          <w:iCs/>
          <w:color w:val="365F91" w:themeColor="accent1" w:themeShade="BF"/>
        </w:rPr>
        <w:t>e</w:t>
      </w:r>
      <w:r w:rsidR="00025F6F" w:rsidRPr="006614F3">
        <w:rPr>
          <w:rFonts w:asciiTheme="minorHAnsi" w:hAnsiTheme="minorHAnsi" w:cstheme="minorHAnsi"/>
          <w:i/>
          <w:iCs/>
          <w:color w:val="365F91" w:themeColor="accent1" w:themeShade="BF"/>
        </w:rPr>
        <w:t xml:space="preserv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2A46F462" w14:textId="77777777" w:rsidR="00B473B3" w:rsidRDefault="00B473B3" w:rsidP="00B473B3">
      <w:pPr>
        <w:spacing w:after="0" w:line="360" w:lineRule="auto"/>
        <w:contextualSpacing/>
        <w:jc w:val="both"/>
        <w:rPr>
          <w:rFonts w:asciiTheme="minorHAnsi" w:hAnsiTheme="minorHAnsi" w:cstheme="minorHAnsi"/>
        </w:rPr>
      </w:pPr>
    </w:p>
    <w:p w14:paraId="7F1A2CC3"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lastRenderedPageBreak/>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2A343AE3"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30C3EEA8" w14:textId="77777777" w:rsidR="00B64522" w:rsidRDefault="00B64522" w:rsidP="00296E30">
      <w:pPr>
        <w:spacing w:after="0" w:line="360" w:lineRule="auto"/>
        <w:jc w:val="both"/>
        <w:rPr>
          <w:rFonts w:asciiTheme="minorHAnsi" w:hAnsiTheme="minorHAnsi" w:cstheme="minorHAnsi"/>
        </w:rPr>
      </w:pPr>
    </w:p>
    <w:p w14:paraId="67A774DA"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1E3AB686"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AdG</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4D78F8AA"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AdC</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14:paraId="34E85E43" w14:textId="77777777"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5174F546" w14:textId="77777777" w:rsidR="006614F3" w:rsidRDefault="002120C6" w:rsidP="006614F3">
      <w:pPr>
        <w:pStyle w:val="Paragrafoelenco"/>
        <w:numPr>
          <w:ilvl w:val="0"/>
          <w:numId w:val="8"/>
        </w:numPr>
        <w:spacing w:line="360" w:lineRule="auto"/>
        <w:rPr>
          <w:rFonts w:cstheme="minorHAnsi"/>
        </w:rPr>
      </w:pPr>
      <w:r w:rsidRPr="006614F3">
        <w:rPr>
          <w:rFonts w:cstheme="minorHAnsi"/>
        </w:rPr>
        <w:t>All’</w:t>
      </w:r>
      <w:proofErr w:type="spellStart"/>
      <w:r w:rsidRPr="006614F3">
        <w:rPr>
          <w:rFonts w:cstheme="minorHAnsi"/>
        </w:rPr>
        <w:t>AdG</w:t>
      </w:r>
      <w:proofErr w:type="spellEnd"/>
      <w:r w:rsidRPr="006614F3">
        <w:rPr>
          <w:rFonts w:cstheme="minorHAnsi"/>
        </w:rPr>
        <w:t xml:space="preserve">,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0EF25C78"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All’</w:t>
      </w:r>
      <w:proofErr w:type="spellStart"/>
      <w:r w:rsidR="00296E30" w:rsidRPr="006614F3">
        <w:rPr>
          <w:rFonts w:cstheme="minorHAnsi"/>
        </w:rPr>
        <w:t>AdC</w:t>
      </w:r>
      <w:proofErr w:type="spellEnd"/>
      <w:r w:rsidR="00296E30" w:rsidRPr="006614F3">
        <w:rPr>
          <w:rFonts w:cstheme="minorHAnsi"/>
        </w:rPr>
        <w:t xml:space="preserve">,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02D21980" w14:textId="77777777" w:rsidR="006614F3" w:rsidRPr="00DE7355" w:rsidRDefault="006614F3" w:rsidP="006614F3">
      <w:pPr>
        <w:pStyle w:val="Paragrafoelenco"/>
        <w:spacing w:line="360" w:lineRule="auto"/>
        <w:rPr>
          <w:rFonts w:cstheme="minorHAnsi"/>
        </w:rPr>
      </w:pPr>
    </w:p>
    <w:p w14:paraId="5128F5ED"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2B6F684E"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6C0155B2" w14:textId="77777777" w:rsidR="00B64522" w:rsidRDefault="00B64522" w:rsidP="00EF5CB6">
      <w:pPr>
        <w:spacing w:after="0" w:line="360" w:lineRule="auto"/>
        <w:jc w:val="both"/>
        <w:rPr>
          <w:rFonts w:cstheme="minorHAnsi"/>
        </w:rPr>
      </w:pPr>
    </w:p>
    <w:p w14:paraId="0A4173F2"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xml:space="preserve">, </w:t>
      </w:r>
      <w:proofErr w:type="spellStart"/>
      <w:r w:rsidRPr="00163833">
        <w:rPr>
          <w:rFonts w:cstheme="minorHAnsi"/>
        </w:rPr>
        <w:t>l'A</w:t>
      </w:r>
      <w:r>
        <w:rPr>
          <w:rFonts w:cstheme="minorHAnsi"/>
        </w:rPr>
        <w:t>d</w:t>
      </w:r>
      <w:r w:rsidRPr="00163833">
        <w:rPr>
          <w:rFonts w:cstheme="minorHAnsi"/>
        </w:rPr>
        <w:t>A</w:t>
      </w:r>
      <w:proofErr w:type="spellEnd"/>
      <w:r w:rsidRPr="00163833">
        <w:rPr>
          <w:rFonts w:cstheme="minorHAnsi"/>
        </w:rPr>
        <w:t xml:space="preserve"> </w:t>
      </w:r>
      <w:r>
        <w:rPr>
          <w:rFonts w:cstheme="minorHAnsi"/>
        </w:rPr>
        <w:t>ha</w:t>
      </w:r>
      <w:r w:rsidRPr="00163833">
        <w:rPr>
          <w:rFonts w:cstheme="minorHAnsi"/>
        </w:rPr>
        <w:t xml:space="preserve"> verifica</w:t>
      </w:r>
      <w:r>
        <w:rPr>
          <w:rFonts w:cstheme="minorHAnsi"/>
        </w:rPr>
        <w:t>to</w:t>
      </w:r>
      <w:r w:rsidRPr="00163833">
        <w:rPr>
          <w:rFonts w:cstheme="minorHAnsi"/>
        </w:rPr>
        <w:t>:</w:t>
      </w:r>
    </w:p>
    <w:p w14:paraId="0C09BC25"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w:t>
      </w:r>
      <w:proofErr w:type="spellStart"/>
      <w:r w:rsidRPr="00163833">
        <w:rPr>
          <w:rFonts w:cstheme="minorHAnsi"/>
        </w:rPr>
        <w:t>A</w:t>
      </w:r>
      <w:r w:rsidR="00C10485">
        <w:rPr>
          <w:rFonts w:cstheme="minorHAnsi"/>
        </w:rPr>
        <w:t>d</w:t>
      </w:r>
      <w:r w:rsidRPr="00163833">
        <w:rPr>
          <w:rFonts w:cstheme="minorHAnsi"/>
        </w:rPr>
        <w:t>G</w:t>
      </w:r>
      <w:proofErr w:type="spellEnd"/>
      <w:r w:rsidRPr="00163833">
        <w:rPr>
          <w:rFonts w:cstheme="minorHAnsi"/>
        </w:rPr>
        <w:t>/OI meno le spese eventualmente dedotte a seguito di verifiche della gestione o qualsiasi altro controllo corrispondano all'importo delle spese registrate nella domanda di pagamento alla Commissione);</w:t>
      </w:r>
    </w:p>
    <w:p w14:paraId="6C8397E1"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0F6674AC" w14:textId="77777777"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14:paraId="6896AD8B"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778C9D23" w14:textId="77777777" w:rsidR="002F0D81" w:rsidRPr="00850090" w:rsidRDefault="00A91CDC" w:rsidP="0003779A">
      <w:pPr>
        <w:spacing w:line="360" w:lineRule="auto"/>
        <w:jc w:val="both"/>
      </w:pPr>
      <w:r w:rsidRPr="00850090">
        <w:lastRenderedPageBreak/>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68753A47"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468881B2"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7449ABA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94B1B28" w14:textId="77777777" w:rsidR="008204F0" w:rsidRPr="00E324C0" w:rsidRDefault="008204F0" w:rsidP="008204F0">
            <w:pPr>
              <w:spacing w:after="0" w:line="240" w:lineRule="auto"/>
              <w:jc w:val="center"/>
              <w:rPr>
                <w:rFonts w:eastAsia="Times New Roman" w:cs="Calibri"/>
                <w:b/>
                <w:bCs/>
                <w:color w:val="FFFFFF"/>
                <w:sz w:val="14"/>
                <w:szCs w:val="24"/>
                <w:lang w:eastAsia="it-IT"/>
              </w:rPr>
            </w:pPr>
            <w:proofErr w:type="spellStart"/>
            <w:r w:rsidRPr="00E324C0">
              <w:rPr>
                <w:rFonts w:eastAsia="Times New Roman" w:cs="Calibri"/>
                <w:b/>
                <w:bCs/>
                <w:color w:val="FFFFFF"/>
                <w:sz w:val="14"/>
                <w:szCs w:val="24"/>
                <w:lang w:eastAsia="it-IT"/>
              </w:rPr>
              <w:t>AdG</w:t>
            </w:r>
            <w:proofErr w:type="spellEnd"/>
            <w:r w:rsidRPr="00E324C0">
              <w:rPr>
                <w:rFonts w:eastAsia="Times New Roman" w:cs="Calibri"/>
                <w:b/>
                <w:bCs/>
                <w:color w:val="FFFFFF"/>
                <w:sz w:val="14"/>
                <w:szCs w:val="24"/>
                <w:lang w:eastAsia="it-IT"/>
              </w:rPr>
              <w:t>/OO.II.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15DA02D"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FD6C599"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D6763F6"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272A4FE"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33068D5"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33294F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494CEE03"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4609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3D5A1995"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449440DF"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0689796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302A4A7"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77384C3"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25B934D6"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4D2CC34B"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33A1D8F2"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3B3C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125504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1F84C1D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30CB14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8FA447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42168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0A8D24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7982A76"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21D0F95D"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0C7AD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70D1ED3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0861FA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47977B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2F2F28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D4F553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78460D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C84E84F"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1E99694A"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FB366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0862200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3773588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F17FE6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68844B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4C1AF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57394E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E2362FE"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4BD4CBD1"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690C8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1F119BC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01924FA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506872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67B693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781237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039C7E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3B68338"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69CD6490"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3D9BFC4C"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242AD49D"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1A2B5F2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0CEF40E1"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198B10F"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0797D988" w14:textId="77777777" w:rsidR="00B64522" w:rsidRDefault="00B64522" w:rsidP="00851A15">
      <w:pPr>
        <w:spacing w:after="0" w:line="360" w:lineRule="auto"/>
        <w:jc w:val="both"/>
        <w:rPr>
          <w:sz w:val="23"/>
          <w:szCs w:val="23"/>
        </w:rPr>
      </w:pPr>
    </w:p>
    <w:p w14:paraId="6780FB7D"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5A3CD661"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6AF93D9F" w14:textId="1081E3E1"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proofErr w:type="spellStart"/>
      <w:r>
        <w:rPr>
          <w:rFonts w:asciiTheme="minorHAnsi" w:hAnsiTheme="minorHAnsi" w:cstheme="minorHAnsi"/>
          <w:sz w:val="22"/>
          <w:szCs w:val="22"/>
        </w:rPr>
        <w:t>L’AdA</w:t>
      </w:r>
      <w:proofErr w:type="spellEnd"/>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w:t>
      </w:r>
      <w:r w:rsidR="0049467E">
        <w:rPr>
          <w:rFonts w:asciiTheme="minorHAnsi" w:hAnsiTheme="minorHAnsi" w:cstheme="minorHAnsi"/>
          <w:sz w:val="22"/>
          <w:szCs w:val="22"/>
        </w:rPr>
        <w:t>,</w:t>
      </w:r>
      <w:r w:rsidR="007105B9" w:rsidRPr="008D6E01">
        <w:rPr>
          <w:rFonts w:asciiTheme="minorHAnsi" w:hAnsiTheme="minorHAnsi" w:cstheme="minorHAnsi"/>
          <w:sz w:val="22"/>
          <w:szCs w:val="22"/>
        </w:rPr>
        <w:t xml:space="preserve"> del Reg. (UE) n. 1303/2013, verificando gli importi con segno negativo contenuti nelle domande di pagamento trasmesse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con lo scopo di analizzare nel dettaglio la tipologia di detrazione/rettifica operata dagli OO.II., dall’</w:t>
      </w:r>
      <w:proofErr w:type="spellStart"/>
      <w:r w:rsidR="007105B9" w:rsidRPr="008D6E01">
        <w:rPr>
          <w:rFonts w:asciiTheme="minorHAnsi" w:hAnsiTheme="minorHAnsi" w:cstheme="minorHAnsi"/>
          <w:sz w:val="22"/>
          <w:szCs w:val="22"/>
        </w:rPr>
        <w:t>AdG</w:t>
      </w:r>
      <w:proofErr w:type="spellEnd"/>
      <w:r w:rsidR="007105B9" w:rsidRPr="008D6E01">
        <w:rPr>
          <w:rFonts w:asciiTheme="minorHAnsi" w:hAnsiTheme="minorHAnsi" w:cstheme="minorHAnsi"/>
          <w:sz w:val="22"/>
          <w:szCs w:val="22"/>
        </w:rPr>
        <w:t xml:space="preserve"> 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w:t>
      </w:r>
    </w:p>
    <w:p w14:paraId="76BDFCA9"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7192E1FE" w14:textId="77777777"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Le risultanze delle suddette verifiche sono state comunicate 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xml:space="preserve">, contenente osservazioni e raccomandazioni che saranno oggetto di </w:t>
      </w:r>
      <w:proofErr w:type="spellStart"/>
      <w:r w:rsidR="00C74654">
        <w:rPr>
          <w:rFonts w:asciiTheme="minorHAnsi" w:hAnsiTheme="minorHAnsi" w:cstheme="minorHAnsi"/>
          <w:sz w:val="22"/>
          <w:szCs w:val="22"/>
        </w:rPr>
        <w:t>followup</w:t>
      </w:r>
      <w:proofErr w:type="spellEnd"/>
      <w:r w:rsidR="00C74654">
        <w:rPr>
          <w:rFonts w:asciiTheme="minorHAnsi" w:hAnsiTheme="minorHAnsi" w:cstheme="minorHAnsi"/>
          <w:sz w:val="22"/>
          <w:szCs w:val="22"/>
        </w:rPr>
        <w:t xml:space="preserve"> nell’ambito dell’audit di sistema.</w:t>
      </w:r>
    </w:p>
    <w:p w14:paraId="2AF4BE31"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0A312D74"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1BA971D7" w14:textId="337D3142"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lastRenderedPageBreak/>
        <w:t>Indicare se nel periodo contabile di riferimento sono stati realizzati Audit della Commissione Europea sulle Autorità (</w:t>
      </w:r>
      <w:proofErr w:type="spellStart"/>
      <w:r w:rsidRPr="00B64522">
        <w:rPr>
          <w:rFonts w:asciiTheme="minorHAnsi" w:hAnsiTheme="minorHAnsi" w:cstheme="minorHAnsi"/>
          <w:i/>
          <w:iCs/>
          <w:color w:val="365F91" w:themeColor="accent1" w:themeShade="BF"/>
          <w:sz w:val="22"/>
          <w:szCs w:val="22"/>
        </w:rPr>
        <w:t>AdA</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AdC</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AdG</w:t>
      </w:r>
      <w:proofErr w:type="spellEnd"/>
      <w:r w:rsidRPr="00B64522">
        <w:rPr>
          <w:rFonts w:asciiTheme="minorHAnsi" w:hAnsiTheme="minorHAnsi" w:cstheme="minorHAnsi"/>
          <w:i/>
          <w:iCs/>
          <w:color w:val="365F91" w:themeColor="accent1" w:themeShade="BF"/>
          <w:sz w:val="22"/>
          <w:szCs w:val="22"/>
        </w:rPr>
        <w:t>)</w:t>
      </w:r>
      <w:r>
        <w:rPr>
          <w:rFonts w:asciiTheme="minorHAnsi" w:hAnsiTheme="minorHAnsi" w:cstheme="minorHAnsi"/>
          <w:color w:val="auto"/>
          <w:sz w:val="22"/>
          <w:szCs w:val="22"/>
        </w:rPr>
        <w:t xml:space="preserve">. </w:t>
      </w:r>
    </w:p>
    <w:p w14:paraId="4E810F82"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483CD63A"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60F34D67"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w:t>
      </w:r>
      <w:proofErr w:type="spellStart"/>
      <w:r w:rsidRPr="001A7AD9">
        <w:rPr>
          <w:rFonts w:asciiTheme="minorHAnsi" w:hAnsiTheme="minorHAnsi" w:cstheme="minorHAnsi"/>
          <w:b/>
          <w:i/>
          <w:color w:val="1F497D" w:themeColor="text2"/>
        </w:rPr>
        <w:t>AdC</w:t>
      </w:r>
      <w:proofErr w:type="spellEnd"/>
      <w:r w:rsidRPr="001A7AD9">
        <w:rPr>
          <w:rFonts w:asciiTheme="minorHAnsi" w:hAnsiTheme="minorHAnsi" w:cstheme="minorHAnsi"/>
          <w:b/>
          <w:i/>
          <w:color w:val="1F497D" w:themeColor="text2"/>
        </w:rPr>
        <w:t>)</w:t>
      </w:r>
      <w:bookmarkEnd w:id="10"/>
    </w:p>
    <w:p w14:paraId="70ED5C8E"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5D04A241" w14:textId="77777777" w:rsidR="000C1C6C" w:rsidRPr="001A7AD9" w:rsidRDefault="000C1C6C" w:rsidP="000C1C6C">
      <w:pPr>
        <w:spacing w:after="0" w:line="360" w:lineRule="auto"/>
        <w:rPr>
          <w:rFonts w:asciiTheme="minorHAnsi" w:hAnsiTheme="minorHAnsi" w:cstheme="minorHAnsi"/>
        </w:rPr>
      </w:pPr>
    </w:p>
    <w:p w14:paraId="15D17C65"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1"/>
    </w:p>
    <w:p w14:paraId="209DEDEF"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65BDA8FD" w14:textId="77777777" w:rsidR="00B64522" w:rsidRPr="00850090" w:rsidRDefault="00B64522" w:rsidP="000C1C6C">
      <w:pPr>
        <w:spacing w:after="0" w:line="360" w:lineRule="auto"/>
        <w:jc w:val="both"/>
        <w:rPr>
          <w:rFonts w:asciiTheme="minorHAnsi" w:hAnsiTheme="minorHAnsi" w:cstheme="minorHAnsi"/>
        </w:rPr>
      </w:pPr>
    </w:p>
    <w:p w14:paraId="3808D078"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na volta ricevuta la bozza dei conti, in considerazione anche dei risultati dell’audit di sistema sull’</w:t>
      </w:r>
      <w:proofErr w:type="spellStart"/>
      <w:r w:rsidR="00182952" w:rsidRPr="00850090">
        <w:rPr>
          <w:rFonts w:asciiTheme="minorHAnsi" w:hAnsiTheme="minorHAnsi" w:cstheme="minorHAnsi"/>
        </w:rPr>
        <w:t>AdC</w:t>
      </w:r>
      <w:proofErr w:type="spellEnd"/>
      <w:r w:rsidR="00182952" w:rsidRPr="00850090">
        <w:rPr>
          <w:rFonts w:asciiTheme="minorHAnsi" w:hAnsiTheme="minorHAnsi" w:cstheme="minorHAnsi"/>
        </w:rPr>
        <w:t xml:space="preserve">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w:t>
      </w:r>
      <w:proofErr w:type="spellStart"/>
      <w:r w:rsidRPr="00850090">
        <w:t>l’AdA</w:t>
      </w:r>
      <w:proofErr w:type="spellEnd"/>
      <w:r w:rsidRPr="00850090">
        <w:t xml:space="preserve"> </w:t>
      </w:r>
      <w:r w:rsidR="00182952" w:rsidRPr="00850090">
        <w:rPr>
          <w:rFonts w:asciiTheme="minorHAnsi" w:hAnsiTheme="minorHAnsi" w:cstheme="minorHAnsi"/>
        </w:rPr>
        <w:t xml:space="preserve">ha eseguito le verifiche aggiuntive finali sulla bozza dei conti certificati. </w:t>
      </w:r>
    </w:p>
    <w:p w14:paraId="45326E46"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 xml:space="preserve">importo complessivo delle </w:t>
      </w:r>
      <w:proofErr w:type="spellStart"/>
      <w:r w:rsidR="00CE2DD4" w:rsidRPr="00850090">
        <w:rPr>
          <w:rFonts w:asciiTheme="minorHAnsi" w:hAnsiTheme="minorHAnsi" w:cstheme="minorHAnsi"/>
        </w:rPr>
        <w:t>Dd</w:t>
      </w:r>
      <w:r w:rsidR="00A920AB" w:rsidRPr="00850090">
        <w:rPr>
          <w:rFonts w:asciiTheme="minorHAnsi" w:hAnsiTheme="minorHAnsi" w:cstheme="minorHAnsi"/>
        </w:rPr>
        <w:t>P</w:t>
      </w:r>
      <w:proofErr w:type="spellEnd"/>
      <w:r w:rsidR="00A920AB" w:rsidRPr="00850090">
        <w:rPr>
          <w:rFonts w:asciiTheme="minorHAnsi" w:hAnsiTheme="minorHAnsi" w:cstheme="minorHAnsi"/>
        </w:rPr>
        <w:t xml:space="preserve">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3ABD55BC"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0C8EF321"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6311E6B1"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14:paraId="40CC0CDC"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2CE39C34"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6F1637B9"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4264B250"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14:paraId="2C197584"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14:paraId="67BE033F"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7F8F6DDC"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14:paraId="3C76994B"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32BCECF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2EC3515"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2ABD3754"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38005D0B"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00FE4C70"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36C70535"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0C1F95A7"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13215625"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4DC0D5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8F85FE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B83FB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15754B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E5A35F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5D6239E"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7656F1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0F272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02266E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2D20B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F0F13D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0784AA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1D51A7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9CF6ADC"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962E6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221A25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F5D92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3BEFAB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0A4CA7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CF839D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771F0E4D"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543428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05C0F4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6C225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11727C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05DA70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3DD980D"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1C6F4CB"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D74892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ABF37B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4C98C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32D362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88431E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7BC87C"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42F8C30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8A9EEF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A41E7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D6879C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C148A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B03EEB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0EA2E23"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BEF54C9"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C5E432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743DD3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189F52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48E83C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A6336F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B3FDC32"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7929857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7948F1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941565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A9944C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4F0811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995911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9ED2176"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9523C6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8F2A2D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F5CEB6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ABF2F6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38A2E4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71D310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5EFBDD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5FE4E2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2E3A20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31CB5D8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1D0CB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2295E0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809521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89E250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C038A4F"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80866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5413DD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2EF72C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713CD6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6DBBEBB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D4DC8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41F69619" w14:textId="77777777" w:rsidTr="00FD12E9">
        <w:trPr>
          <w:trHeight w:val="315"/>
        </w:trPr>
        <w:tc>
          <w:tcPr>
            <w:tcW w:w="992" w:type="pct"/>
            <w:tcBorders>
              <w:top w:val="nil"/>
              <w:left w:val="nil"/>
              <w:bottom w:val="nil"/>
              <w:right w:val="nil"/>
            </w:tcBorders>
            <w:shd w:val="clear" w:color="auto" w:fill="auto"/>
            <w:vAlign w:val="center"/>
            <w:hideMark/>
          </w:tcPr>
          <w:p w14:paraId="7EDDB6E3"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1ABE1987"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09E61BA6"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5BBF6D5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59D2B21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0307167E"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2BE90B03" w14:textId="77777777" w:rsidR="00E324C0" w:rsidRDefault="00E324C0" w:rsidP="005B6343">
      <w:pPr>
        <w:spacing w:after="0" w:line="360" w:lineRule="auto"/>
        <w:jc w:val="both"/>
        <w:rPr>
          <w:rFonts w:asciiTheme="minorHAnsi" w:hAnsiTheme="minorHAnsi" w:cstheme="minorHAnsi"/>
        </w:rPr>
      </w:pPr>
    </w:p>
    <w:p w14:paraId="265838F9"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 xml:space="preserve">perazioni, </w:t>
      </w:r>
      <w:proofErr w:type="spellStart"/>
      <w:r>
        <w:rPr>
          <w:rFonts w:asciiTheme="minorHAnsi" w:hAnsiTheme="minorHAnsi" w:cstheme="minorHAnsi"/>
        </w:rPr>
        <w:t>l'AdA</w:t>
      </w:r>
      <w:proofErr w:type="spellEnd"/>
      <w:r>
        <w:rPr>
          <w:rFonts w:asciiTheme="minorHAnsi" w:hAnsiTheme="minorHAnsi" w:cstheme="minorHAnsi"/>
        </w:rPr>
        <w:t xml:space="preserve"> ha verificato:</w:t>
      </w:r>
    </w:p>
    <w:p w14:paraId="218E7BDB"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72323A67"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0BF763F4"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2CC235B9" w14:textId="77777777" w:rsidR="003B02EE" w:rsidRPr="008D6E01" w:rsidRDefault="003B02EE" w:rsidP="00A920AB">
      <w:pPr>
        <w:spacing w:after="0" w:line="360" w:lineRule="auto"/>
        <w:jc w:val="both"/>
        <w:rPr>
          <w:rFonts w:asciiTheme="minorHAnsi" w:hAnsiTheme="minorHAnsi" w:cstheme="minorHAnsi"/>
        </w:rPr>
      </w:pPr>
    </w:p>
    <w:p w14:paraId="3193C8E2"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0D8E554E"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proofErr w:type="spellStart"/>
      <w:r w:rsidR="00182952" w:rsidRPr="008D6E01">
        <w:rPr>
          <w:rFonts w:asciiTheme="minorHAnsi" w:hAnsiTheme="minorHAnsi" w:cstheme="minorHAnsi"/>
        </w:rPr>
        <w:t>l’AdA</w:t>
      </w:r>
      <w:proofErr w:type="spellEnd"/>
      <w:r w:rsidR="00182952" w:rsidRPr="008D6E01">
        <w:rPr>
          <w:rFonts w:asciiTheme="minorHAnsi" w:hAnsiTheme="minorHAnsi" w:cstheme="minorHAnsi"/>
        </w:rPr>
        <w:t xml:space="preserve"> ha proceduto a verificare che:</w:t>
      </w:r>
    </w:p>
    <w:p w14:paraId="286B4497"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363311A0"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 xml:space="preserve">Reg. (UE) n. 1303/2013 e riportato nella colonna C dell'appendice 1 corrisponda ai relativi documenti contabili a livello di </w:t>
      </w:r>
      <w:proofErr w:type="spellStart"/>
      <w:r w:rsidR="007105B9" w:rsidRPr="00E556E6">
        <w:rPr>
          <w:rFonts w:asciiTheme="minorHAnsi" w:hAnsiTheme="minorHAnsi" w:cstheme="minorHAnsi"/>
          <w:color w:val="000000"/>
        </w:rPr>
        <w:t>AdC</w:t>
      </w:r>
      <w:proofErr w:type="spellEnd"/>
      <w:r w:rsidR="007105B9" w:rsidRPr="00E556E6">
        <w:rPr>
          <w:rFonts w:asciiTheme="minorHAnsi" w:hAnsiTheme="minorHAnsi" w:cstheme="minorHAnsi"/>
          <w:color w:val="000000"/>
        </w:rPr>
        <w:t xml:space="preserve"> e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14:paraId="6037E683"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 xml:space="preserve">li importi dei contributi del programma erogati agli strumenti finanziari (anticipi) e gli anticipi degli aiuti di Stato pagati ai beneficiari siano giustificati dalle informazioni disponibili in particolare a livello di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14:paraId="5B93230E" w14:textId="64D790F5"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w:t>
      </w:r>
      <w:r w:rsidR="0049467E">
        <w:rPr>
          <w:rFonts w:asciiTheme="minorHAnsi" w:hAnsiTheme="minorHAnsi" w:cstheme="minorHAnsi"/>
          <w:color w:val="000000"/>
        </w:rPr>
        <w:t>, paragrafo 2,</w:t>
      </w:r>
      <w:r w:rsidRPr="00E556E6">
        <w:rPr>
          <w:rFonts w:asciiTheme="minorHAnsi" w:hAnsiTheme="minorHAnsi" w:cstheme="minorHAnsi"/>
          <w:color w:val="000000"/>
        </w:rPr>
        <w:t xml:space="preserve"> del Reg. (UE) n. 1303/2013;</w:t>
      </w:r>
    </w:p>
    <w:p w14:paraId="36B4A667"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lastRenderedPageBreak/>
        <w:t>le rettifiche richieste a seguito delle verifiche di gestione o degli audit o di qualsiasi altro controllo siano correttamente rispecchiate nei conti del periodo contabile in questione;</w:t>
      </w:r>
    </w:p>
    <w:p w14:paraId="4B60A0D9"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siano basati su decisioni assunte dall’</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 xml:space="preserve"> o dall’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w:t>
      </w:r>
    </w:p>
    <w:p w14:paraId="55078018"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1BC9FBB4"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w:t>
      </w:r>
      <w:proofErr w:type="spellStart"/>
      <w:r>
        <w:rPr>
          <w:rFonts w:asciiTheme="minorHAnsi" w:hAnsiTheme="minorHAnsi" w:cstheme="minorHAnsi"/>
          <w:color w:val="000000"/>
        </w:rPr>
        <w:t>AdC</w:t>
      </w:r>
      <w:proofErr w:type="spellEnd"/>
      <w:r>
        <w:rPr>
          <w:rFonts w:asciiTheme="minorHAnsi" w:hAnsiTheme="minorHAnsi" w:cstheme="minorHAnsi"/>
          <w:color w:val="000000"/>
        </w:rPr>
        <w:t xml:space="preserve">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w:t>
      </w:r>
      <w:proofErr w:type="spellStart"/>
      <w:r w:rsidR="007105B9" w:rsidRPr="00E556E6">
        <w:rPr>
          <w:rFonts w:asciiTheme="minorHAnsi" w:hAnsiTheme="minorHAnsi" w:cstheme="minorHAnsi"/>
          <w:color w:val="000000"/>
        </w:rPr>
        <w:t>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w:t>
      </w:r>
      <w:proofErr w:type="spellEnd"/>
      <w:r w:rsidR="007105B9" w:rsidRPr="00E556E6">
        <w:rPr>
          <w:rFonts w:asciiTheme="minorHAnsi" w:hAnsiTheme="minorHAnsi" w:cstheme="minorHAnsi"/>
          <w:color w:val="000000"/>
        </w:rPr>
        <w:t xml:space="preserve">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2EC9D9D8"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 xml:space="preserve">A seguito delle suesposte verifiche </w:t>
      </w:r>
      <w:proofErr w:type="spellStart"/>
      <w:r>
        <w:rPr>
          <w:rFonts w:asciiTheme="minorHAnsi" w:hAnsiTheme="minorHAnsi" w:cstheme="minorHAnsi"/>
        </w:rPr>
        <w:t>l</w:t>
      </w:r>
      <w:r w:rsidR="00BE49E4">
        <w:rPr>
          <w:rFonts w:asciiTheme="minorHAnsi" w:hAnsiTheme="minorHAnsi" w:cstheme="minorHAnsi"/>
        </w:rPr>
        <w:t>’AdA</w:t>
      </w:r>
      <w:proofErr w:type="spellEnd"/>
      <w:r w:rsidR="00BE49E4">
        <w:rPr>
          <w:rFonts w:asciiTheme="minorHAnsi" w:hAnsiTheme="minorHAnsi" w:cstheme="minorHAnsi"/>
        </w:rPr>
        <w:t xml:space="preserve"> ha</w:t>
      </w:r>
      <w:r w:rsidR="006E11D9" w:rsidRPr="00BE49E4">
        <w:rPr>
          <w:rFonts w:asciiTheme="minorHAnsi" w:hAnsiTheme="minorHAnsi" w:cstheme="minorHAnsi"/>
        </w:rPr>
        <w:t xml:space="preserve"> potuto appurare quanto segue.</w:t>
      </w:r>
    </w:p>
    <w:p w14:paraId="10B708D1" w14:textId="77777777" w:rsidR="00C62A54" w:rsidRDefault="00C62A54" w:rsidP="00784F62">
      <w:pPr>
        <w:spacing w:after="0" w:line="360" w:lineRule="auto"/>
        <w:rPr>
          <w:rFonts w:asciiTheme="minorHAnsi" w:hAnsiTheme="minorHAnsi" w:cstheme="minorHAnsi"/>
          <w:color w:val="003399"/>
        </w:rPr>
      </w:pPr>
    </w:p>
    <w:p w14:paraId="58D9E921"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3AD18176"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126069FB" w14:textId="77777777" w:rsidR="00055717" w:rsidRDefault="00055717" w:rsidP="00784F62">
      <w:pPr>
        <w:spacing w:after="0" w:line="360" w:lineRule="auto"/>
        <w:jc w:val="both"/>
        <w:rPr>
          <w:rFonts w:asciiTheme="minorHAnsi" w:hAnsiTheme="minorHAnsi" w:cstheme="minorHAnsi"/>
        </w:rPr>
      </w:pPr>
    </w:p>
    <w:p w14:paraId="17CE7B0F"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67539CC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0DB17BB2" w14:textId="77777777" w:rsidR="00223C1E" w:rsidRDefault="00223C1E" w:rsidP="00784F62">
      <w:pPr>
        <w:spacing w:after="0" w:line="360" w:lineRule="auto"/>
        <w:jc w:val="both"/>
        <w:rPr>
          <w:rFonts w:asciiTheme="minorHAnsi" w:hAnsiTheme="minorHAnsi" w:cstheme="minorHAnsi"/>
        </w:rPr>
      </w:pPr>
    </w:p>
    <w:p w14:paraId="6CE31E7F" w14:textId="70EF72FF"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sidR="0049467E">
        <w:rPr>
          <w:rFonts w:asciiTheme="minorHAnsi" w:hAnsiTheme="minorHAnsi" w:cstheme="minorHAnsi"/>
          <w:color w:val="003399"/>
        </w:rPr>
        <w:t>R</w:t>
      </w:r>
      <w:r w:rsidRPr="00D62225">
        <w:rPr>
          <w:rFonts w:asciiTheme="minorHAnsi" w:hAnsiTheme="minorHAnsi" w:cstheme="minorHAnsi"/>
          <w:color w:val="003399"/>
        </w:rPr>
        <w:t>egolamento (UE) n. 1303/2013</w:t>
      </w:r>
    </w:p>
    <w:p w14:paraId="6015EF3D"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4487CFCD" w14:textId="77777777" w:rsidR="00D937AB" w:rsidRPr="00D937AB" w:rsidRDefault="00D937AB" w:rsidP="00784F62">
      <w:pPr>
        <w:spacing w:after="0" w:line="360" w:lineRule="auto"/>
        <w:jc w:val="both"/>
      </w:pPr>
    </w:p>
    <w:p w14:paraId="293BC0BE" w14:textId="2AD54EA2" w:rsidR="009E2987" w:rsidRPr="009E2987" w:rsidRDefault="009E2987" w:rsidP="00784F62">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sidR="0049467E">
        <w:rPr>
          <w:color w:val="003399"/>
        </w:rPr>
        <w:t>R</w:t>
      </w:r>
      <w:r w:rsidRPr="009E2987">
        <w:rPr>
          <w:color w:val="003399"/>
        </w:rPr>
        <w:t>egolamento (UE) n. 1303/2013</w:t>
      </w:r>
    </w:p>
    <w:p w14:paraId="745E079F"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56574D5B" w14:textId="77777777" w:rsidR="00D937AB" w:rsidRDefault="00D937AB" w:rsidP="00784F62">
      <w:pPr>
        <w:spacing w:after="0" w:line="360" w:lineRule="auto"/>
        <w:jc w:val="both"/>
      </w:pPr>
    </w:p>
    <w:p w14:paraId="6E3F79CB" w14:textId="77777777" w:rsidR="00D937AB" w:rsidRPr="00D937AB" w:rsidRDefault="00D937AB" w:rsidP="00784F62">
      <w:pPr>
        <w:spacing w:after="0" w:line="360" w:lineRule="auto"/>
        <w:jc w:val="both"/>
        <w:rPr>
          <w:color w:val="003399"/>
        </w:rPr>
      </w:pPr>
      <w:r w:rsidRPr="00D937AB">
        <w:rPr>
          <w:color w:val="003399"/>
        </w:rPr>
        <w:t>Appendice 5 - Importi irrecuperabili alla chiusura del periodo contabile — articolo 137, paragrafo 1, lettera b), del regolamento (UE) n. 1303/2013</w:t>
      </w:r>
    </w:p>
    <w:p w14:paraId="1430438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lastRenderedPageBreak/>
        <w:t xml:space="preserve">Descrivere le risultanze dell’Appendice </w:t>
      </w:r>
      <w:r>
        <w:rPr>
          <w:rFonts w:asciiTheme="minorHAnsi" w:hAnsiTheme="minorHAnsi" w:cstheme="minorHAnsi"/>
          <w:i/>
          <w:iCs/>
          <w:color w:val="365F91" w:themeColor="accent1" w:themeShade="BF"/>
        </w:rPr>
        <w:t>5</w:t>
      </w:r>
    </w:p>
    <w:p w14:paraId="1A9A6EED" w14:textId="77777777" w:rsidR="009E2987" w:rsidRDefault="009E2987" w:rsidP="00784F62">
      <w:pPr>
        <w:spacing w:after="0" w:line="360" w:lineRule="auto"/>
        <w:jc w:val="both"/>
        <w:rPr>
          <w:rFonts w:asciiTheme="minorHAnsi" w:hAnsiTheme="minorHAnsi" w:cstheme="minorHAnsi"/>
          <w:b/>
        </w:rPr>
      </w:pPr>
    </w:p>
    <w:p w14:paraId="319E4361" w14:textId="59A9F96D"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w:t>
      </w:r>
      <w:r w:rsidR="0049467E">
        <w:rPr>
          <w:color w:val="003399"/>
        </w:rPr>
        <w:t>R</w:t>
      </w:r>
      <w:r w:rsidRPr="00D62225">
        <w:rPr>
          <w:color w:val="003399"/>
        </w:rPr>
        <w:t xml:space="preserve">egolamento (UE) n. 1303/2013) (dati cumulativi dall'inizio del programma) — articolo 137, paragrafo 1, lettera c), del </w:t>
      </w:r>
      <w:r w:rsidR="0049467E">
        <w:rPr>
          <w:color w:val="003399"/>
        </w:rPr>
        <w:t>R</w:t>
      </w:r>
      <w:r w:rsidRPr="00D62225">
        <w:rPr>
          <w:color w:val="003399"/>
        </w:rPr>
        <w:t>egolamento (UE) n. 1303/2013</w:t>
      </w:r>
    </w:p>
    <w:p w14:paraId="1F8BAC7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4C633A79" w14:textId="77777777" w:rsidR="00D62225" w:rsidRDefault="00D62225" w:rsidP="00784F62">
      <w:pPr>
        <w:spacing w:after="0" w:line="360" w:lineRule="auto"/>
        <w:jc w:val="both"/>
      </w:pPr>
    </w:p>
    <w:p w14:paraId="15C7227B" w14:textId="77777777" w:rsidR="00D62225" w:rsidRDefault="00D62225" w:rsidP="00784F62">
      <w:pPr>
        <w:spacing w:after="0" w:line="360" w:lineRule="auto"/>
        <w:jc w:val="both"/>
      </w:pPr>
    </w:p>
    <w:p w14:paraId="13827917" w14:textId="77777777" w:rsidR="00D62225" w:rsidRDefault="00D62225" w:rsidP="00784F62">
      <w:pPr>
        <w:spacing w:after="0" w:line="360" w:lineRule="auto"/>
        <w:jc w:val="both"/>
      </w:pPr>
    </w:p>
    <w:p w14:paraId="0F6C27DF" w14:textId="77777777" w:rsidR="002F6394" w:rsidRDefault="002F6394" w:rsidP="00784F62">
      <w:pPr>
        <w:spacing w:after="0" w:line="360" w:lineRule="auto"/>
        <w:jc w:val="both"/>
        <w:rPr>
          <w:rFonts w:asciiTheme="minorHAnsi" w:hAnsiTheme="minorHAnsi" w:cstheme="minorHAnsi"/>
        </w:rPr>
      </w:pPr>
    </w:p>
    <w:p w14:paraId="4342588C" w14:textId="7340623A"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49467E">
        <w:rPr>
          <w:color w:val="003399"/>
        </w:rPr>
        <w:t>R</w:t>
      </w:r>
      <w:r w:rsidR="005B6524" w:rsidRPr="00D62225">
        <w:rPr>
          <w:color w:val="003399"/>
        </w:rPr>
        <w:t>egolamento (UE) n. 1303/2013</w:t>
      </w:r>
    </w:p>
    <w:p w14:paraId="634BD81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6FADAD0A" w14:textId="77777777" w:rsidR="008C22BA" w:rsidRDefault="008C22BA" w:rsidP="00784F62">
      <w:pPr>
        <w:spacing w:after="0" w:line="360" w:lineRule="auto"/>
        <w:rPr>
          <w:rFonts w:asciiTheme="minorHAnsi" w:hAnsiTheme="minorHAnsi" w:cstheme="minorHAnsi"/>
        </w:rPr>
      </w:pPr>
    </w:p>
    <w:p w14:paraId="74D44BCB" w14:textId="77777777" w:rsidR="00414038" w:rsidRDefault="00414038" w:rsidP="00784F62">
      <w:pPr>
        <w:spacing w:after="0" w:line="360" w:lineRule="auto"/>
        <w:rPr>
          <w:rFonts w:asciiTheme="minorHAnsi" w:hAnsiTheme="minorHAnsi" w:cstheme="minorHAnsi"/>
        </w:rPr>
      </w:pPr>
    </w:p>
    <w:p w14:paraId="0F6CB1FF" w14:textId="4CC6DDF4" w:rsidR="00AA2863" w:rsidRPr="00D62225" w:rsidRDefault="00AA2863" w:rsidP="00784F62">
      <w:pPr>
        <w:spacing w:after="0" w:line="360" w:lineRule="auto"/>
        <w:rPr>
          <w:color w:val="003399"/>
        </w:rPr>
      </w:pPr>
      <w:r w:rsidRPr="00D62225">
        <w:rPr>
          <w:color w:val="003399"/>
        </w:rPr>
        <w:t xml:space="preserve">Appendice 8 - Riconciliazione delle spese — articolo 137, paragrafo 1, lettera d), del </w:t>
      </w:r>
      <w:r w:rsidR="0049467E">
        <w:rPr>
          <w:color w:val="003399"/>
        </w:rPr>
        <w:t>R</w:t>
      </w:r>
      <w:r w:rsidRPr="00D62225">
        <w:rPr>
          <w:color w:val="003399"/>
        </w:rPr>
        <w:t>egolamento (UE) n. 1303/2013</w:t>
      </w:r>
    </w:p>
    <w:p w14:paraId="57F531DE"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7486EE42" w14:textId="77777777" w:rsidR="00D62225" w:rsidRDefault="00D62225" w:rsidP="00D62225">
      <w:pPr>
        <w:spacing w:after="0" w:line="360" w:lineRule="auto"/>
        <w:rPr>
          <w:rFonts w:asciiTheme="minorHAnsi" w:hAnsiTheme="minorHAnsi" w:cstheme="minorHAnsi"/>
        </w:rPr>
      </w:pPr>
    </w:p>
    <w:p w14:paraId="776F474B" w14:textId="77777777" w:rsidR="008C22BA" w:rsidRPr="008C22BA" w:rsidRDefault="008C22BA" w:rsidP="00784F62">
      <w:pPr>
        <w:spacing w:after="0" w:line="360" w:lineRule="auto"/>
        <w:rPr>
          <w:rFonts w:asciiTheme="minorHAnsi" w:hAnsiTheme="minorHAnsi" w:cstheme="minorHAnsi"/>
        </w:rPr>
      </w:pPr>
    </w:p>
    <w:p w14:paraId="030F090D"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72DAF47D"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54E2452A" w14:textId="77777777" w:rsidR="00182952" w:rsidRPr="008D6E01" w:rsidRDefault="00182952" w:rsidP="00856ADE">
      <w:pPr>
        <w:spacing w:line="360" w:lineRule="auto"/>
        <w:jc w:val="both"/>
        <w:rPr>
          <w:rFonts w:asciiTheme="minorHAnsi" w:hAnsiTheme="minorHAnsi" w:cstheme="minorHAnsi"/>
        </w:rPr>
      </w:pPr>
    </w:p>
    <w:p w14:paraId="07844071"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t>Conclusioni</w:t>
      </w:r>
      <w:bookmarkEnd w:id="15"/>
      <w:r w:rsidR="000D4B20">
        <w:rPr>
          <w:rFonts w:asciiTheme="minorHAnsi" w:hAnsiTheme="minorHAnsi" w:cstheme="minorHAnsi"/>
          <w:b/>
          <w:caps/>
          <w:color w:val="002060"/>
          <w:sz w:val="22"/>
          <w:szCs w:val="22"/>
        </w:rPr>
        <w:t xml:space="preserve"> E PARERI</w:t>
      </w:r>
      <w:bookmarkEnd w:id="16"/>
    </w:p>
    <w:p w14:paraId="77A8DCE7"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 xml:space="preserve">Indicare se </w:t>
      </w:r>
      <w:proofErr w:type="spellStart"/>
      <w:r w:rsidRPr="00D62225">
        <w:rPr>
          <w:rFonts w:asciiTheme="minorHAnsi" w:hAnsiTheme="minorHAnsi" w:cstheme="minorHAnsi"/>
          <w:bCs/>
          <w:i/>
          <w:iCs/>
          <w:color w:val="365F91" w:themeColor="accent1" w:themeShade="BF"/>
        </w:rPr>
        <w:t>l’AdA</w:t>
      </w:r>
      <w:proofErr w:type="spellEnd"/>
      <w:r w:rsidRPr="00D62225">
        <w:rPr>
          <w:rFonts w:asciiTheme="minorHAnsi" w:hAnsiTheme="minorHAnsi" w:cstheme="minorHAnsi"/>
          <w:bCs/>
          <w:i/>
          <w:iCs/>
          <w:color w:val="365F91" w:themeColor="accent1" w:themeShade="BF"/>
        </w:rPr>
        <w:t xml:space="preserve"> a valle delle attività di audit descritte nel presente rapporto, ha ottenuto una concreta garanzia circa l’affidabilità, completezza, accuratezza dei conti</w:t>
      </w:r>
    </w:p>
    <w:p w14:paraId="242F906B" w14:textId="77777777" w:rsidR="00D62225" w:rsidRDefault="00D62225" w:rsidP="00784F62">
      <w:pPr>
        <w:autoSpaceDE w:val="0"/>
        <w:autoSpaceDN w:val="0"/>
        <w:adjustRightInd w:val="0"/>
        <w:spacing w:after="0" w:line="360" w:lineRule="auto"/>
        <w:jc w:val="both"/>
        <w:rPr>
          <w:rFonts w:asciiTheme="minorHAnsi" w:hAnsiTheme="minorHAnsi" w:cstheme="minorHAnsi"/>
          <w:bCs/>
        </w:rPr>
      </w:pPr>
    </w:p>
    <w:p w14:paraId="4FC40E25"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lastRenderedPageBreak/>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2F5F80E7" w14:textId="4FB0951F"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sidR="0049467E">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7DE0E120" w14:textId="77777777" w:rsidR="00182952" w:rsidRDefault="00182952" w:rsidP="00B462F4">
      <w:pPr>
        <w:spacing w:line="240" w:lineRule="auto"/>
        <w:rPr>
          <w:rFonts w:asciiTheme="minorHAnsi" w:hAnsiTheme="minorHAnsi" w:cstheme="minorHAnsi"/>
          <w:b/>
          <w:bCs/>
        </w:rPr>
      </w:pPr>
    </w:p>
    <w:p w14:paraId="37298635" w14:textId="77777777"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14:paraId="5BCCDDEF" w14:textId="77777777" w:rsidTr="00583F7F">
        <w:tc>
          <w:tcPr>
            <w:tcW w:w="2665" w:type="pct"/>
          </w:tcPr>
          <w:p w14:paraId="4F0E6337" w14:textId="77777777"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14:paraId="76010527" w14:textId="77777777"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14:paraId="202F90A5" w14:textId="77777777" w:rsidR="00583F7F" w:rsidRPr="008D6E01" w:rsidRDefault="00583F7F" w:rsidP="00427B1D">
            <w:pPr>
              <w:spacing w:after="0" w:line="240" w:lineRule="auto"/>
              <w:rPr>
                <w:rFonts w:asciiTheme="minorHAnsi" w:hAnsiTheme="minorHAnsi" w:cstheme="minorHAnsi"/>
                <w:b/>
                <w:bCs/>
              </w:rPr>
            </w:pPr>
          </w:p>
        </w:tc>
      </w:tr>
    </w:tbl>
    <w:p w14:paraId="5D6B0B6A"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AE418" w14:textId="77777777" w:rsidR="00902C26" w:rsidRDefault="00902C26" w:rsidP="000D5AE0">
      <w:pPr>
        <w:spacing w:after="0" w:line="240" w:lineRule="auto"/>
      </w:pPr>
      <w:r>
        <w:separator/>
      </w:r>
    </w:p>
  </w:endnote>
  <w:endnote w:type="continuationSeparator" w:id="0">
    <w:p w14:paraId="17A7343C" w14:textId="77777777" w:rsidR="00902C26" w:rsidRDefault="00902C26"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7A070" w14:textId="77777777" w:rsidR="00642730" w:rsidRDefault="006427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3ACB5" w14:textId="77777777" w:rsidR="00401AA9" w:rsidRDefault="00401AA9" w:rsidP="00401AA9">
    <w:pPr>
      <w:pStyle w:val="Pidipagina"/>
      <w:rPr>
        <w:rFonts w:cs="Tahoma"/>
        <w:bCs/>
        <w:snapToGrid w:val="0"/>
        <w:color w:val="000000"/>
        <w:sz w:val="16"/>
        <w:szCs w:val="16"/>
      </w:rPr>
    </w:pPr>
  </w:p>
  <w:p w14:paraId="1625432B" w14:textId="2422B1AB" w:rsidR="00401AA9" w:rsidRDefault="00401AA9" w:rsidP="00401AA9">
    <w:pPr>
      <w:pStyle w:val="Pidipagina"/>
      <w:jc w:val="right"/>
      <w:rPr>
        <w:rFonts w:cs="Tahoma"/>
        <w:bCs/>
        <w:snapToGrid w:val="0"/>
        <w:color w:val="000000"/>
        <w:sz w:val="16"/>
        <w:szCs w:val="16"/>
      </w:rPr>
    </w:pPr>
  </w:p>
  <w:p w14:paraId="2E8E90EE" w14:textId="77777777"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E7138F">
      <w:rPr>
        <w:rFonts w:cs="Tahoma"/>
        <w:bCs/>
        <w:snapToGrid w:val="0"/>
        <w:color w:val="000000"/>
        <w:sz w:val="16"/>
        <w:szCs w:val="16"/>
      </w:rPr>
      <w:t>Audit dei Conti – PON SPAO</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F416F1">
      <w:rPr>
        <w:noProof/>
        <w:sz w:val="16"/>
        <w:szCs w:val="16"/>
      </w:rPr>
      <w:t>3</w:t>
    </w:r>
    <w:r w:rsidR="00401AA9" w:rsidRPr="00B648FA">
      <w:rPr>
        <w:sz w:val="16"/>
        <w:szCs w:val="16"/>
      </w:rPr>
      <w:fldChar w:fldCharType="end"/>
    </w:r>
  </w:p>
  <w:p w14:paraId="2E5AB8CD" w14:textId="77777777" w:rsidR="00401AA9" w:rsidRDefault="00401A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DC23" w14:textId="00437FF2" w:rsidR="00401AA9" w:rsidRDefault="00401AA9" w:rsidP="00401AA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C291F" w14:textId="77777777" w:rsidR="00902C26" w:rsidRDefault="00902C26" w:rsidP="000D5AE0">
      <w:pPr>
        <w:spacing w:after="0" w:line="240" w:lineRule="auto"/>
      </w:pPr>
      <w:r>
        <w:separator/>
      </w:r>
    </w:p>
  </w:footnote>
  <w:footnote w:type="continuationSeparator" w:id="0">
    <w:p w14:paraId="3799C9E2" w14:textId="77777777" w:rsidR="00902C26" w:rsidRDefault="00902C26"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50BB" w14:textId="77777777" w:rsidR="00642730" w:rsidRDefault="006427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F1B3" w14:textId="5E7646AE" w:rsidR="0054064A" w:rsidRDefault="005532E5" w:rsidP="0054064A">
    <w:r>
      <w:rPr>
        <w:noProof/>
      </w:rPr>
      <w:drawing>
        <wp:inline distT="0" distB="0" distL="0" distR="0" wp14:anchorId="7A82672F" wp14:editId="2A4FA732">
          <wp:extent cx="6031230" cy="865505"/>
          <wp:effectExtent l="0" t="0" r="0" b="0"/>
          <wp:docPr id="1" name="Immagine 3">
            <a:extLst xmlns:a="http://schemas.openxmlformats.org/drawingml/2006/main">
              <a:ext uri="{FF2B5EF4-FFF2-40B4-BE49-F238E27FC236}">
                <a16:creationId xmlns:a16="http://schemas.microsoft.com/office/drawing/2014/main" id="{A162DF47-53D4-404A-B5F6-91CE8FE5E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A162DF47-53D4-404A-B5F6-91CE8FE5EE98}"/>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31230" cy="865505"/>
                  </a:xfrm>
                  <a:prstGeom prst="rect">
                    <a:avLst/>
                  </a:prstGeom>
                  <a:noFill/>
                </pic:spPr>
              </pic:pic>
            </a:graphicData>
          </a:graphic>
        </wp:inline>
      </w:drawing>
    </w:r>
  </w:p>
  <w:p w14:paraId="06702A6F" w14:textId="77777777" w:rsidR="00401AA9" w:rsidRDefault="00401AA9" w:rsidP="00401AA9">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4876" w14:textId="280D4B15" w:rsidR="00401AA9" w:rsidRPr="0054064A" w:rsidRDefault="00BF6714" w:rsidP="0054064A">
    <w:pPr>
      <w:pStyle w:val="Intestazione"/>
    </w:pPr>
    <w:r>
      <w:rPr>
        <w:noProof/>
      </w:rPr>
      <w:drawing>
        <wp:inline distT="0" distB="0" distL="0" distR="0" wp14:anchorId="21063780" wp14:editId="068BFF4C">
          <wp:extent cx="6107906" cy="876300"/>
          <wp:effectExtent l="0" t="0" r="0" b="0"/>
          <wp:docPr id="4" name="Immagine 3">
            <a:extLst xmlns:a="http://schemas.openxmlformats.org/drawingml/2006/main">
              <a:ext uri="{FF2B5EF4-FFF2-40B4-BE49-F238E27FC236}">
                <a16:creationId xmlns:a16="http://schemas.microsoft.com/office/drawing/2014/main" id="{A162DF47-53D4-404A-B5F6-91CE8FE5E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A162DF47-53D4-404A-B5F6-91CE8FE5EE98}"/>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07906" cy="8763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DB4F2F"/>
    <w:multiLevelType w:val="hybridMultilevel"/>
    <w:tmpl w:val="0E9CE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0561666">
    <w:abstractNumId w:val="13"/>
  </w:num>
  <w:num w:numId="2" w16cid:durableId="422381872">
    <w:abstractNumId w:val="26"/>
  </w:num>
  <w:num w:numId="3" w16cid:durableId="1703165595">
    <w:abstractNumId w:val="6"/>
  </w:num>
  <w:num w:numId="4" w16cid:durableId="2101293498">
    <w:abstractNumId w:val="10"/>
  </w:num>
  <w:num w:numId="5" w16cid:durableId="1740516527">
    <w:abstractNumId w:val="16"/>
  </w:num>
  <w:num w:numId="6" w16cid:durableId="30226166">
    <w:abstractNumId w:val="27"/>
  </w:num>
  <w:num w:numId="7" w16cid:durableId="500199648">
    <w:abstractNumId w:val="18"/>
  </w:num>
  <w:num w:numId="8" w16cid:durableId="1817332847">
    <w:abstractNumId w:val="3"/>
  </w:num>
  <w:num w:numId="9" w16cid:durableId="510264212">
    <w:abstractNumId w:val="15"/>
  </w:num>
  <w:num w:numId="10" w16cid:durableId="1302997816">
    <w:abstractNumId w:val="17"/>
  </w:num>
  <w:num w:numId="11" w16cid:durableId="490097060">
    <w:abstractNumId w:val="20"/>
  </w:num>
  <w:num w:numId="12" w16cid:durableId="809859843">
    <w:abstractNumId w:val="23"/>
  </w:num>
  <w:num w:numId="13" w16cid:durableId="1263417163">
    <w:abstractNumId w:val="19"/>
  </w:num>
  <w:num w:numId="14" w16cid:durableId="897933128">
    <w:abstractNumId w:val="0"/>
  </w:num>
  <w:num w:numId="15" w16cid:durableId="647050910">
    <w:abstractNumId w:val="14"/>
  </w:num>
  <w:num w:numId="16" w16cid:durableId="1412586257">
    <w:abstractNumId w:val="12"/>
  </w:num>
  <w:num w:numId="17" w16cid:durableId="1280261306">
    <w:abstractNumId w:val="24"/>
  </w:num>
  <w:num w:numId="18" w16cid:durableId="1231504864">
    <w:abstractNumId w:val="4"/>
  </w:num>
  <w:num w:numId="19" w16cid:durableId="1917665672">
    <w:abstractNumId w:val="7"/>
  </w:num>
  <w:num w:numId="20" w16cid:durableId="1628703018">
    <w:abstractNumId w:val="11"/>
  </w:num>
  <w:num w:numId="21" w16cid:durableId="248739522">
    <w:abstractNumId w:val="30"/>
  </w:num>
  <w:num w:numId="22" w16cid:durableId="895122314">
    <w:abstractNumId w:val="2"/>
  </w:num>
  <w:num w:numId="23" w16cid:durableId="1018776905">
    <w:abstractNumId w:val="31"/>
  </w:num>
  <w:num w:numId="24" w16cid:durableId="80570656">
    <w:abstractNumId w:val="1"/>
  </w:num>
  <w:num w:numId="25" w16cid:durableId="1131246204">
    <w:abstractNumId w:val="8"/>
  </w:num>
  <w:num w:numId="26" w16cid:durableId="233129577">
    <w:abstractNumId w:val="28"/>
  </w:num>
  <w:num w:numId="27" w16cid:durableId="561134796">
    <w:abstractNumId w:val="5"/>
  </w:num>
  <w:num w:numId="28" w16cid:durableId="549807960">
    <w:abstractNumId w:val="9"/>
  </w:num>
  <w:num w:numId="29" w16cid:durableId="1266841581">
    <w:abstractNumId w:val="25"/>
  </w:num>
  <w:num w:numId="30" w16cid:durableId="1438285612">
    <w:abstractNumId w:val="21"/>
  </w:num>
  <w:num w:numId="31" w16cid:durableId="174002474">
    <w:abstractNumId w:val="22"/>
  </w:num>
  <w:num w:numId="32" w16cid:durableId="443039197">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B7F88"/>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65E3"/>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1578"/>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467E"/>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886"/>
    <w:rsid w:val="00541729"/>
    <w:rsid w:val="00547FDD"/>
    <w:rsid w:val="00550F6A"/>
    <w:rsid w:val="00551DAE"/>
    <w:rsid w:val="0055285D"/>
    <w:rsid w:val="005532E5"/>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2730"/>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11C9"/>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C747D"/>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1911"/>
    <w:rsid w:val="008F260C"/>
    <w:rsid w:val="008F4C97"/>
    <w:rsid w:val="008F7BC4"/>
    <w:rsid w:val="00900CBF"/>
    <w:rsid w:val="00901306"/>
    <w:rsid w:val="009024D5"/>
    <w:rsid w:val="00902C26"/>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ADD"/>
    <w:rsid w:val="00A56F29"/>
    <w:rsid w:val="00A5709A"/>
    <w:rsid w:val="00A60DE0"/>
    <w:rsid w:val="00A63474"/>
    <w:rsid w:val="00A66178"/>
    <w:rsid w:val="00A66B30"/>
    <w:rsid w:val="00A751DD"/>
    <w:rsid w:val="00A75A32"/>
    <w:rsid w:val="00A76469"/>
    <w:rsid w:val="00A77101"/>
    <w:rsid w:val="00A8063E"/>
    <w:rsid w:val="00A81BB5"/>
    <w:rsid w:val="00A81BF2"/>
    <w:rsid w:val="00A8367A"/>
    <w:rsid w:val="00A83D09"/>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449"/>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714"/>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37726"/>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77BA4"/>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33F9"/>
    <w:rsid w:val="00D06766"/>
    <w:rsid w:val="00D06B76"/>
    <w:rsid w:val="00D07AAD"/>
    <w:rsid w:val="00D07DF8"/>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35DF"/>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16F1"/>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6AAF"/>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9BBE21"/>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Bullet List,FooterText,lp1,List Paragraph1,lp11,List Paragraph11,Use Case List Paragraph,numbered,Paragraphe de liste1,Bulletr List Paragraph,列出段落,列出段落1,Bullet 1,Punto elenco 1,Table of contents numbered,Elenco num ARGEA"/>
    <w:basedOn w:val="Normale"/>
    <w:link w:val="ParagrafoelencoCarattere"/>
    <w:uiPriority w:val="34"/>
    <w:qFormat/>
    <w:rsid w:val="006E6A37"/>
    <w:pPr>
      <w:spacing w:after="120" w:line="240" w:lineRule="auto"/>
      <w:ind w:left="720"/>
      <w:contextualSpacing/>
      <w:jc w:val="both"/>
    </w:pPr>
  </w:style>
  <w:style w:type="character" w:customStyle="1" w:styleId="ParagrafoelencoCarattere">
    <w:name w:val="Paragrafo elenco Carattere"/>
    <w:aliases w:val="Testo_tabella Carattere,Bullet List Carattere,FooterText Carattere,lp1 Carattere,List Paragraph1 Carattere,lp11 Carattere,List Paragraph11 Carattere,Use Case List Paragraph Carattere,numbered Carattere,列出段落 Carattere"/>
    <w:link w:val="Paragrafoelenco"/>
    <w:uiPriority w:val="34"/>
    <w:qFormat/>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76237178">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18</Pages>
  <Words>4448</Words>
  <Characters>27401</Characters>
  <DocSecurity>0</DocSecurity>
  <Lines>228</Lines>
  <Paragraphs>63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PROGRAMMA OPERATIVO NAZIONALE</vt:lpstr>
      <vt:lpstr>PROGRAMMA OPERATIVO NAZIONALE</vt:lpstr>
    </vt:vector>
  </TitlesOfParts>
  <LinksUpToDate>false</LinksUpToDate>
  <CharactersWithSpaces>31786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2024-10-21T15:51:00Z</cp:lastPrinted>
  <dcterms:created xsi:type="dcterms:W3CDTF">2020-04-08T18:52:00Z</dcterms:created>
  <dcterms:modified xsi:type="dcterms:W3CDTF">2024-10-22T15:04:00Z</dcterms:modified>
</cp:coreProperties>
</file>